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cs="Times New Roman"/>
          <w:sz w:val="32"/>
          <w:szCs w:val="32"/>
        </w:rPr>
      </w:pPr>
      <w:r>
        <w:rPr>
          <w:rFonts w:hint="eastAsia" w:asciiTheme="majorEastAsia" w:hAnsiTheme="majorEastAsia" w:eastAsiaTheme="majorEastAsia"/>
          <w:b/>
          <w:bCs/>
          <w:sz w:val="32"/>
          <w:szCs w:val="32"/>
        </w:rPr>
        <w:t xml:space="preserve">附件1： </w:t>
      </w:r>
    </w:p>
    <w:p/>
    <w:p/>
    <w:p/>
    <w:p>
      <w:pPr>
        <w:jc w:val="center"/>
      </w:pPr>
      <w:r>
        <w:rPr>
          <w:rFonts w:hint="eastAsia"/>
        </w:rPr>
        <w:drawing>
          <wp:inline distT="0" distB="0" distL="114300" distR="114300">
            <wp:extent cx="911860" cy="1283970"/>
            <wp:effectExtent l="0" t="0" r="2540" b="11430"/>
            <wp:docPr id="1" name="图片 1"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国建材标志"/>
                    <pic:cNvPicPr>
                      <a:picLocks noChangeAspect="1"/>
                    </pic:cNvPicPr>
                  </pic:nvPicPr>
                  <pic:blipFill>
                    <a:blip r:embed="rId6"/>
                    <a:stretch>
                      <a:fillRect/>
                    </a:stretch>
                  </pic:blipFill>
                  <pic:spPr>
                    <a:xfrm>
                      <a:off x="0" y="0"/>
                      <a:ext cx="911860" cy="1283970"/>
                    </a:xfrm>
                    <a:prstGeom prst="rect">
                      <a:avLst/>
                    </a:prstGeom>
                  </pic:spPr>
                </pic:pic>
              </a:graphicData>
            </a:graphic>
          </wp:inline>
        </w:drawing>
      </w:r>
    </w:p>
    <w:p/>
    <w:p/>
    <w:p>
      <w:pPr>
        <w:spacing w:line="600" w:lineRule="auto"/>
        <w:jc w:val="center"/>
        <w:rPr>
          <w:rFonts w:ascii="黑体" w:hAnsi="黑体" w:eastAsia="黑体" w:cs="黑体"/>
          <w:sz w:val="48"/>
          <w:szCs w:val="48"/>
        </w:rPr>
      </w:pPr>
      <w:r>
        <w:rPr>
          <w:rFonts w:hint="eastAsia" w:ascii="黑体" w:hAnsi="黑体" w:eastAsia="黑体" w:cs="黑体"/>
          <w:sz w:val="48"/>
          <w:szCs w:val="48"/>
        </w:rPr>
        <w:t>南京中联混凝土有限公司</w:t>
      </w:r>
    </w:p>
    <w:p>
      <w:pPr>
        <w:spacing w:line="600" w:lineRule="auto"/>
        <w:jc w:val="center"/>
        <w:rPr>
          <w:rFonts w:ascii="黑体" w:hAnsi="黑体" w:eastAsia="黑体" w:cs="黑体"/>
          <w:sz w:val="48"/>
          <w:szCs w:val="48"/>
        </w:rPr>
      </w:pPr>
      <w:r>
        <w:rPr>
          <w:rFonts w:hint="eastAsia" w:ascii="黑体" w:hAnsi="黑体" w:eastAsia="黑体" w:cs="黑体"/>
          <w:sz w:val="48"/>
          <w:szCs w:val="48"/>
        </w:rPr>
        <w:t>砂石材料</w:t>
      </w:r>
      <w:r>
        <w:rPr>
          <w:rFonts w:hint="eastAsia" w:ascii="黑体" w:hAnsi="黑体" w:eastAsia="黑体" w:cs="黑体"/>
          <w:sz w:val="48"/>
          <w:szCs w:val="48"/>
          <w:lang w:eastAsia="zh-CN"/>
        </w:rPr>
        <w:t>招</w:t>
      </w:r>
      <w:r>
        <w:rPr>
          <w:rFonts w:hint="eastAsia" w:ascii="黑体" w:hAnsi="黑体" w:eastAsia="黑体" w:cs="黑体"/>
          <w:sz w:val="48"/>
          <w:szCs w:val="48"/>
        </w:rPr>
        <w:t>标采购实施办法</w:t>
      </w:r>
    </w:p>
    <w:p>
      <w:pPr>
        <w:spacing w:line="600" w:lineRule="auto"/>
        <w:jc w:val="center"/>
        <w:rPr>
          <w:rFonts w:ascii="黑体" w:hAnsi="黑体" w:eastAsia="黑体" w:cs="黑体"/>
          <w:sz w:val="48"/>
          <w:szCs w:val="48"/>
        </w:rPr>
      </w:pPr>
      <w:r>
        <w:rPr>
          <w:rFonts w:hint="eastAsia" w:ascii="黑体" w:hAnsi="黑体" w:eastAsia="黑体" w:cs="黑体"/>
          <w:sz w:val="48"/>
          <w:szCs w:val="48"/>
        </w:rPr>
        <w:t>（202</w:t>
      </w:r>
      <w:r>
        <w:rPr>
          <w:rFonts w:hint="eastAsia" w:ascii="黑体" w:hAnsi="黑体" w:eastAsia="黑体" w:cs="黑体"/>
          <w:sz w:val="48"/>
          <w:szCs w:val="48"/>
          <w:lang w:val="en-US" w:eastAsia="zh-CN"/>
        </w:rPr>
        <w:t>3</w:t>
      </w:r>
      <w:r>
        <w:rPr>
          <w:rFonts w:hint="eastAsia" w:ascii="黑体" w:hAnsi="黑体" w:eastAsia="黑体" w:cs="黑体"/>
          <w:sz w:val="48"/>
          <w:szCs w:val="48"/>
        </w:rPr>
        <w:t>版 ）</w:t>
      </w:r>
    </w:p>
    <w:p>
      <w:pPr>
        <w:jc w:val="center"/>
        <w:rPr>
          <w:rFonts w:ascii="黑体" w:eastAsia="黑体"/>
          <w:sz w:val="52"/>
          <w:szCs w:val="52"/>
        </w:rPr>
      </w:pPr>
    </w:p>
    <w:p/>
    <w:p/>
    <w:p/>
    <w:p>
      <w:pPr>
        <w:rPr>
          <w:rFonts w:ascii="黑体" w:eastAsia="黑体"/>
          <w:sz w:val="52"/>
          <w:szCs w:val="52"/>
        </w:rPr>
      </w:pPr>
    </w:p>
    <w:p>
      <w:pPr>
        <w:rPr>
          <w:rFonts w:ascii="黑体" w:eastAsia="黑体"/>
          <w:sz w:val="52"/>
          <w:szCs w:val="52"/>
        </w:rPr>
      </w:pPr>
    </w:p>
    <w:p>
      <w:pPr>
        <w:rPr>
          <w:rFonts w:ascii="黑体" w:eastAsia="黑体"/>
          <w:sz w:val="52"/>
          <w:szCs w:val="52"/>
        </w:rPr>
      </w:pPr>
    </w:p>
    <w:p/>
    <w:p/>
    <w:p>
      <w:r>
        <w:drawing>
          <wp:anchor distT="0" distB="0" distL="114300" distR="114300" simplePos="0" relativeHeight="251659264" behindDoc="0" locked="0" layoutInCell="1" allowOverlap="1">
            <wp:simplePos x="0" y="0"/>
            <wp:positionH relativeFrom="column">
              <wp:posOffset>809625</wp:posOffset>
            </wp:positionH>
            <wp:positionV relativeFrom="paragraph">
              <wp:posOffset>9525</wp:posOffset>
            </wp:positionV>
            <wp:extent cx="3514725" cy="647700"/>
            <wp:effectExtent l="19050" t="0" r="9525" b="0"/>
            <wp:wrapNone/>
            <wp:docPr id="7" name="图片 4" descr="南京中联混凝土有限公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南京中联混凝土有限公司.JPG"/>
                    <pic:cNvPicPr>
                      <a:picLocks noChangeAspect="1"/>
                    </pic:cNvPicPr>
                  </pic:nvPicPr>
                  <pic:blipFill>
                    <a:blip r:embed="rId7" cstate="print"/>
                    <a:stretch>
                      <a:fillRect/>
                    </a:stretch>
                  </pic:blipFill>
                  <pic:spPr>
                    <a:xfrm>
                      <a:off x="0" y="0"/>
                      <a:ext cx="3514725" cy="647700"/>
                    </a:xfrm>
                    <a:prstGeom prst="rect">
                      <a:avLst/>
                    </a:prstGeom>
                  </pic:spPr>
                </pic:pic>
              </a:graphicData>
            </a:graphic>
          </wp:anchor>
        </w:drawing>
      </w:r>
    </w:p>
    <w:p/>
    <w:p/>
    <w:p/>
    <w:p>
      <w:pPr>
        <w:spacing w:line="560" w:lineRule="exact"/>
        <w:jc w:val="center"/>
        <w:rPr>
          <w:rFonts w:ascii="宋体" w:hAnsi="宋体" w:eastAsia="宋体" w:cs="宋体"/>
          <w:b/>
          <w:bCs/>
          <w:sz w:val="44"/>
          <w:szCs w:val="44"/>
        </w:rPr>
        <w:sectPr>
          <w:headerReference r:id="rId3" w:type="default"/>
          <w:pgSz w:w="11906" w:h="16838"/>
          <w:pgMar w:top="1280" w:right="1800" w:bottom="1440" w:left="1800" w:header="651" w:footer="992" w:gutter="0"/>
          <w:pgNumType w:fmt="numberInDash" w:start="1"/>
          <w:cols w:space="425" w:num="1"/>
          <w:docGrid w:type="lines" w:linePitch="312" w:charSpace="0"/>
        </w:sect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r>
        <w:rPr>
          <w:rFonts w:hint="eastAsia" w:ascii="宋体" w:hAnsi="宋体" w:eastAsia="宋体" w:cs="宋体"/>
          <w:b/>
          <w:bCs/>
          <w:sz w:val="44"/>
          <w:szCs w:val="44"/>
        </w:rPr>
        <w:t>南京中联混凝土有限公司</w:t>
      </w:r>
    </w:p>
    <w:p>
      <w:pPr>
        <w:widowControl/>
        <w:jc w:val="center"/>
        <w:rPr>
          <w:color w:val="FF0000"/>
        </w:rPr>
      </w:pPr>
      <w:r>
        <w:rPr>
          <w:rFonts w:hint="eastAsia" w:ascii="宋体" w:hAnsi="宋体" w:eastAsia="宋体" w:cs="宋体"/>
          <w:b/>
          <w:bCs/>
          <w:sz w:val="44"/>
          <w:szCs w:val="44"/>
        </w:rPr>
        <w:t>砂石材料</w:t>
      </w:r>
      <w:r>
        <w:rPr>
          <w:rFonts w:hint="eastAsia" w:ascii="宋体" w:hAnsi="宋体" w:eastAsia="宋体" w:cs="宋体"/>
          <w:b/>
          <w:bCs/>
          <w:sz w:val="44"/>
          <w:szCs w:val="44"/>
          <w:lang w:eastAsia="zh-CN"/>
        </w:rPr>
        <w:t>招</w:t>
      </w:r>
      <w:r>
        <w:rPr>
          <w:rFonts w:hint="eastAsia" w:ascii="宋体" w:hAnsi="宋体" w:eastAsia="宋体" w:cs="宋体"/>
          <w:b/>
          <w:bCs/>
          <w:sz w:val="44"/>
          <w:szCs w:val="44"/>
        </w:rPr>
        <w:t>标采购实施办法（202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版）</w:t>
      </w:r>
    </w:p>
    <w:p>
      <w:pPr>
        <w:spacing w:line="560" w:lineRule="exact"/>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进一步规范公司砂石材料采购管理，充分体现公开、公正、公平、竞争的原则，在更好保障生产所需砂石材料供应、控制采购成本的同时，培养更多稳定、诚信、核心的供应商，与公司同频共振，合作共赢。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二、公司概况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南京中联混凝土有限公司（以下简称“公司”）成立于2012年2月，隶属于我国建材行业唯一央企、也是全球最大的综合性建材产业集团——中国建材集团有限公司旗下的</w:t>
      </w:r>
      <w:r>
        <w:rPr>
          <w:rFonts w:hint="eastAsia" w:ascii="仿宋_GB2312" w:hAnsi="仿宋_GB2312" w:eastAsia="仿宋_GB2312" w:cs="仿宋_GB2312"/>
          <w:sz w:val="32"/>
          <w:szCs w:val="32"/>
          <w:lang w:eastAsia="zh-CN"/>
        </w:rPr>
        <w:t>华东材料</w:t>
      </w:r>
      <w:r>
        <w:rPr>
          <w:rFonts w:hint="eastAsia" w:ascii="仿宋_GB2312" w:hAnsi="仿宋_GB2312" w:eastAsia="仿宋_GB2312" w:cs="仿宋_GB2312"/>
          <w:sz w:val="32"/>
          <w:szCs w:val="32"/>
        </w:rPr>
        <w:t>有限公司</w:t>
      </w:r>
      <w:r>
        <w:rPr>
          <w:rFonts w:hint="default" w:ascii="仿宋_GB2312" w:hAnsi="仿宋_GB2312" w:eastAsia="仿宋_GB2312" w:cs="仿宋_GB2312"/>
          <w:sz w:val="32"/>
          <w:szCs w:val="32"/>
        </w:rPr>
        <w:t>南京商混平台公司</w:t>
      </w:r>
      <w:r>
        <w:rPr>
          <w:rFonts w:hint="eastAsia" w:ascii="仿宋_GB2312" w:hAnsi="仿宋_GB2312" w:eastAsia="仿宋_GB2312" w:cs="仿宋_GB2312"/>
          <w:sz w:val="32"/>
          <w:szCs w:val="32"/>
        </w:rPr>
        <w:t>，主要生产预拌混凝土、预拌砂浆。公司目前有14个商品混凝土搅拌站，辐射南京全市和镇江、马鞍山等地，年销量近1000万方，年销售额近50亿元，是江苏省最大的混凝土企业，也是全国最大的商品混凝土生产企业之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三、质量标准</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rPr>
        <w:t>标采购产品主要为混凝土生产所需的砂、石材料。</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2.砂石产品质量应执行公司内部《原材料验收管理制度》，并符合现行行业标准《普通混凝土用砂、石质量及检验方法》JGJ52及其他相关国家、行业、地方标准。主要控制指标如下：</w:t>
      </w:r>
    </w:p>
    <w:p>
      <w:p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（1）天然砂质量指标</w:t>
      </w:r>
    </w:p>
    <w:tbl>
      <w:tblPr>
        <w:tblStyle w:val="11"/>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366"/>
        <w:gridCol w:w="903"/>
        <w:gridCol w:w="1503"/>
        <w:gridCol w:w="1504"/>
        <w:gridCol w:w="1200"/>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restart"/>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序号</w:t>
            </w:r>
          </w:p>
        </w:tc>
        <w:tc>
          <w:tcPr>
            <w:tcW w:w="1366" w:type="dxa"/>
            <w:vMerge w:val="restart"/>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项目</w:t>
            </w:r>
          </w:p>
        </w:tc>
        <w:tc>
          <w:tcPr>
            <w:tcW w:w="903" w:type="dxa"/>
            <w:vMerge w:val="restart"/>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单</w:t>
            </w:r>
            <w:r>
              <w:rPr>
                <w:rFonts w:hint="eastAsia" w:asciiTheme="minorEastAsia" w:hAnsiTheme="minorEastAsia"/>
                <w:sz w:val="24"/>
                <w:szCs w:val="24"/>
              </w:rPr>
              <w:t>位</w:t>
            </w:r>
          </w:p>
        </w:tc>
        <w:tc>
          <w:tcPr>
            <w:tcW w:w="5382" w:type="dxa"/>
            <w:gridSpan w:val="4"/>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天然砂内控</w:t>
            </w:r>
            <w:r>
              <w:rPr>
                <w:rFonts w:hint="default" w:asciiTheme="minorEastAsia" w:hAnsiTheme="minorEastAsia"/>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Merge w:val="continue"/>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p>
        </w:tc>
        <w:tc>
          <w:tcPr>
            <w:tcW w:w="1366" w:type="dxa"/>
            <w:vMerge w:val="continue"/>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p>
        </w:tc>
        <w:tc>
          <w:tcPr>
            <w:tcW w:w="903" w:type="dxa"/>
            <w:vMerge w:val="continue"/>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粗砂（I类）</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粗</w:t>
            </w:r>
            <w:r>
              <w:rPr>
                <w:rFonts w:hint="default" w:asciiTheme="minorEastAsia" w:hAnsiTheme="minorEastAsia"/>
                <w:sz w:val="24"/>
                <w:szCs w:val="24"/>
              </w:rPr>
              <w:t>砂</w:t>
            </w:r>
            <w:r>
              <w:rPr>
                <w:rFonts w:hint="eastAsia" w:asciiTheme="minorEastAsia" w:hAnsiTheme="minorEastAsia"/>
                <w:sz w:val="24"/>
                <w:szCs w:val="24"/>
              </w:rPr>
              <w:t>（II类）</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普通</w:t>
            </w:r>
            <w:r>
              <w:rPr>
                <w:rFonts w:hint="default" w:asciiTheme="minorEastAsia" w:hAnsiTheme="minorEastAsia"/>
                <w:sz w:val="24"/>
                <w:szCs w:val="24"/>
              </w:rPr>
              <w:t>砂</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细</w:t>
            </w:r>
            <w:r>
              <w:rPr>
                <w:rFonts w:hint="eastAsia" w:asciiTheme="minorEastAsia" w:hAnsiTheme="minorEastAsia"/>
                <w:sz w:val="24"/>
                <w:szCs w:val="24"/>
              </w:rPr>
              <w:t>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细度模数</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2.3~</w:t>
            </w:r>
            <w:r>
              <w:rPr>
                <w:rFonts w:hint="eastAsia" w:asciiTheme="minorEastAsia" w:hAnsiTheme="minorEastAsia"/>
                <w:sz w:val="24"/>
                <w:szCs w:val="24"/>
              </w:rPr>
              <w:t>3.0</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2.3~</w:t>
            </w:r>
            <w:r>
              <w:rPr>
                <w:rFonts w:hint="eastAsia" w:asciiTheme="minorEastAsia" w:hAnsiTheme="minorEastAsia"/>
                <w:sz w:val="24"/>
                <w:szCs w:val="24"/>
              </w:rPr>
              <w:t>3.0</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w:t>
            </w:r>
            <w:r>
              <w:rPr>
                <w:rFonts w:hint="eastAsia" w:asciiTheme="minorEastAsia" w:hAnsiTheme="minorEastAsia"/>
                <w:sz w:val="24"/>
                <w:szCs w:val="24"/>
              </w:rPr>
              <w:t>6</w:t>
            </w:r>
            <w:r>
              <w:rPr>
                <w:rFonts w:hint="default" w:asciiTheme="minorEastAsia" w:hAnsiTheme="minorEastAsia"/>
                <w:sz w:val="24"/>
                <w:szCs w:val="24"/>
              </w:rPr>
              <w:t>~</w:t>
            </w:r>
            <w:r>
              <w:rPr>
                <w:rFonts w:hint="eastAsia" w:asciiTheme="minorEastAsia" w:hAnsiTheme="minorEastAsia"/>
                <w:sz w:val="24"/>
                <w:szCs w:val="24"/>
              </w:rPr>
              <w:t>2.2</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0.</w:t>
            </w:r>
            <w:r>
              <w:rPr>
                <w:rFonts w:hint="eastAsia" w:asciiTheme="minorEastAsia" w:hAnsiTheme="minorEastAsia"/>
                <w:sz w:val="24"/>
                <w:szCs w:val="24"/>
              </w:rPr>
              <w:t>6</w:t>
            </w:r>
            <w:r>
              <w:rPr>
                <w:rFonts w:hint="default" w:asciiTheme="minorEastAsia" w:hAnsiTheme="minorEastAsia"/>
                <w:sz w:val="24"/>
                <w:szCs w:val="24"/>
              </w:rPr>
              <w:t>~</w:t>
            </w:r>
            <w:r>
              <w:rPr>
                <w:rFonts w:hint="eastAsia" w:asciiTheme="minorEastAsia" w:hAnsiTheme="min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2</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级配</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II区</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3</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≥5</w:t>
            </w:r>
            <w:r>
              <w:rPr>
                <w:rFonts w:hint="default" w:asciiTheme="minorEastAsia" w:hAnsiTheme="minorEastAsia"/>
                <w:sz w:val="24"/>
                <w:szCs w:val="24"/>
              </w:rPr>
              <w:t>mm</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≤10</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≤10</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≤10</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4</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含泥量</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≤1.</w:t>
            </w:r>
            <w:r>
              <w:rPr>
                <w:rFonts w:hint="eastAsia" w:asciiTheme="minorEastAsia" w:hAnsiTheme="minorEastAsia"/>
                <w:sz w:val="24"/>
                <w:szCs w:val="24"/>
              </w:rPr>
              <w:t>5</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2.2</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2.2</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5</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泥块含量</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p>
        </w:tc>
        <w:tc>
          <w:tcPr>
            <w:tcW w:w="15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≤0.5</w:t>
            </w:r>
          </w:p>
        </w:tc>
        <w:tc>
          <w:tcPr>
            <w:tcW w:w="1504"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1.0</w:t>
            </w:r>
          </w:p>
        </w:tc>
        <w:tc>
          <w:tcPr>
            <w:tcW w:w="1200"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1.0</w:t>
            </w:r>
          </w:p>
        </w:tc>
        <w:tc>
          <w:tcPr>
            <w:tcW w:w="1175"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r>
              <w:rPr>
                <w:rFonts w:hint="eastAsia" w:asciiTheme="minorEastAsia" w:hAnsi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727"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eastAsia" w:asciiTheme="minorEastAsia" w:hAnsiTheme="minorEastAsia"/>
                <w:sz w:val="24"/>
                <w:szCs w:val="24"/>
              </w:rPr>
              <w:t>6</w:t>
            </w:r>
          </w:p>
        </w:tc>
        <w:tc>
          <w:tcPr>
            <w:tcW w:w="1366"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氯离子</w:t>
            </w:r>
          </w:p>
        </w:tc>
        <w:tc>
          <w:tcPr>
            <w:tcW w:w="903" w:type="dxa"/>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w:t>
            </w:r>
          </w:p>
        </w:tc>
        <w:tc>
          <w:tcPr>
            <w:tcW w:w="5382" w:type="dxa"/>
            <w:gridSpan w:val="4"/>
            <w:vAlign w:val="center"/>
          </w:tcPr>
          <w:p>
            <w:pPr>
              <w:keepNext w:val="0"/>
              <w:keepLines w:val="0"/>
              <w:suppressLineNumbers w:val="0"/>
              <w:spacing w:before="0" w:beforeAutospacing="0" w:after="0" w:afterAutospacing="0" w:line="288" w:lineRule="auto"/>
              <w:ind w:left="0" w:right="0"/>
              <w:jc w:val="center"/>
              <w:rPr>
                <w:rFonts w:hint="default" w:asciiTheme="minorEastAsia" w:hAnsiTheme="minorEastAsia"/>
                <w:sz w:val="24"/>
                <w:szCs w:val="24"/>
              </w:rPr>
            </w:pPr>
            <w:r>
              <w:rPr>
                <w:rFonts w:hint="default" w:asciiTheme="minorEastAsia" w:hAnsiTheme="minorEastAsia"/>
                <w:sz w:val="24"/>
                <w:szCs w:val="24"/>
              </w:rPr>
              <w:t>≤0.0</w:t>
            </w:r>
            <w:r>
              <w:rPr>
                <w:rFonts w:hint="eastAsia" w:asciiTheme="minorEastAsia" w:hAnsiTheme="minorEastAsia"/>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trPr>
        <w:tc>
          <w:tcPr>
            <w:tcW w:w="8378" w:type="dxa"/>
            <w:gridSpan w:val="7"/>
            <w:vAlign w:val="center"/>
          </w:tcPr>
          <w:p>
            <w:pPr>
              <w:keepNext w:val="0"/>
              <w:keepLines w:val="0"/>
              <w:suppressLineNumbers w:val="0"/>
              <w:spacing w:before="0" w:beforeAutospacing="0" w:after="0" w:afterAutospacing="0" w:line="288" w:lineRule="auto"/>
              <w:ind w:left="0" w:right="0"/>
              <w:jc w:val="left"/>
              <w:rPr>
                <w:rFonts w:hint="default" w:asciiTheme="minorEastAsia" w:hAnsiTheme="minorEastAsia"/>
                <w:sz w:val="24"/>
                <w:szCs w:val="24"/>
              </w:rPr>
            </w:pPr>
            <w:r>
              <w:rPr>
                <w:rFonts w:hint="eastAsia" w:asciiTheme="minorEastAsia" w:hAnsiTheme="minorEastAsia"/>
                <w:sz w:val="24"/>
                <w:szCs w:val="24"/>
              </w:rPr>
              <w:t>注：1、不得为海砂、风化砂。</w:t>
            </w:r>
          </w:p>
          <w:p>
            <w:pPr>
              <w:keepNext w:val="0"/>
              <w:keepLines w:val="0"/>
              <w:suppressLineNumbers w:val="0"/>
              <w:spacing w:before="0" w:beforeAutospacing="0" w:after="0" w:afterAutospacing="0" w:line="288" w:lineRule="auto"/>
              <w:ind w:left="0" w:right="0" w:firstLine="480" w:firstLineChars="200"/>
              <w:jc w:val="left"/>
              <w:rPr>
                <w:rFonts w:hint="default" w:asciiTheme="minorEastAsia" w:hAnsiTheme="minorEastAsia"/>
                <w:sz w:val="24"/>
                <w:szCs w:val="24"/>
              </w:rPr>
            </w:pPr>
            <w:r>
              <w:rPr>
                <w:rFonts w:hint="eastAsia" w:asciiTheme="minorEastAsia" w:hAnsiTheme="minorEastAsia"/>
                <w:sz w:val="24"/>
                <w:szCs w:val="24"/>
              </w:rPr>
              <w:t>2、</w:t>
            </w:r>
            <w:r>
              <w:rPr>
                <w:rFonts w:hint="default" w:asciiTheme="minorEastAsia" w:hAnsiTheme="minorEastAsia"/>
                <w:sz w:val="24"/>
                <w:szCs w:val="24"/>
              </w:rPr>
              <w:t>砂中不得含有大的石块、泥块、磨细钢渣、煤炭及树枝等杂物</w:t>
            </w:r>
            <w:r>
              <w:rPr>
                <w:rFonts w:hint="eastAsia" w:asciiTheme="minorEastAsia" w:hAnsiTheme="minorEastAsia"/>
                <w:sz w:val="24"/>
                <w:szCs w:val="24"/>
              </w:rPr>
              <w:t>。</w:t>
            </w:r>
          </w:p>
          <w:p>
            <w:pPr>
              <w:keepNext w:val="0"/>
              <w:keepLines w:val="0"/>
              <w:suppressLineNumbers w:val="0"/>
              <w:spacing w:before="0" w:beforeAutospacing="0" w:after="0" w:afterAutospacing="0" w:line="288" w:lineRule="auto"/>
              <w:ind w:left="0" w:right="0" w:firstLine="480" w:firstLineChars="200"/>
              <w:jc w:val="left"/>
              <w:rPr>
                <w:rFonts w:hint="default" w:asciiTheme="minorEastAsia" w:hAnsiTheme="minorEastAsia"/>
                <w:sz w:val="24"/>
                <w:szCs w:val="24"/>
              </w:rPr>
            </w:pPr>
            <w:r>
              <w:rPr>
                <w:rFonts w:hint="eastAsia" w:asciiTheme="minorEastAsia" w:hAnsiTheme="minorEastAsia"/>
                <w:sz w:val="24"/>
                <w:szCs w:val="24"/>
              </w:rPr>
              <w:t>3、砂的坚固性、有害物质含量、贝壳含量等指标执行国家相关标准。</w:t>
            </w:r>
          </w:p>
        </w:tc>
      </w:tr>
    </w:tbl>
    <w:p>
      <w:pPr>
        <w:spacing w:line="560" w:lineRule="exact"/>
        <w:rPr>
          <w:rFonts w:ascii="仿宋_GB2312" w:hAnsi="仿宋_GB2312" w:eastAsia="仿宋_GB2312" w:cs="仿宋_GB2312"/>
          <w:sz w:val="32"/>
          <w:szCs w:val="32"/>
        </w:rPr>
      </w:pPr>
    </w:p>
    <w:p>
      <w:pPr>
        <w:numPr>
          <w:ilvl w:val="0"/>
          <w:numId w:val="1"/>
        </w:numPr>
        <w:spacing w:line="56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机制砂质量指标</w:t>
      </w:r>
    </w:p>
    <w:tbl>
      <w:tblPr>
        <w:tblStyle w:val="11"/>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497"/>
        <w:gridCol w:w="813"/>
        <w:gridCol w:w="199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restart"/>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序号</w:t>
            </w:r>
          </w:p>
        </w:tc>
        <w:tc>
          <w:tcPr>
            <w:tcW w:w="2497" w:type="dxa"/>
            <w:vMerge w:val="restart"/>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项目单位</w:t>
            </w:r>
          </w:p>
        </w:tc>
        <w:tc>
          <w:tcPr>
            <w:tcW w:w="813" w:type="dxa"/>
            <w:vMerge w:val="restart"/>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单位</w:t>
            </w:r>
          </w:p>
        </w:tc>
        <w:tc>
          <w:tcPr>
            <w:tcW w:w="4230" w:type="dxa"/>
            <w:gridSpan w:val="2"/>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rPr>
            </w:pPr>
            <w:r>
              <w:rPr>
                <w:rFonts w:hint="eastAsia"/>
                <w:sz w:val="24"/>
                <w:szCs w:val="24"/>
              </w:rPr>
              <w:t>机制砂</w:t>
            </w:r>
            <w:r>
              <w:rPr>
                <w:rFonts w:hint="default"/>
                <w:sz w:val="24"/>
                <w:szCs w:val="24"/>
              </w:rPr>
              <w:t>内控指标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38" w:type="dxa"/>
            <w:vMerge w:val="continue"/>
            <w:vAlign w:val="center"/>
          </w:tcPr>
          <w:p>
            <w:pPr>
              <w:keepNext w:val="0"/>
              <w:keepLines w:val="0"/>
              <w:suppressLineNumbers w:val="0"/>
              <w:spacing w:before="0" w:beforeAutospacing="0" w:after="0" w:afterAutospacing="0" w:line="288" w:lineRule="auto"/>
              <w:ind w:left="0" w:right="0"/>
              <w:jc w:val="center"/>
              <w:rPr>
                <w:rFonts w:hint="default"/>
                <w:sz w:val="24"/>
                <w:szCs w:val="24"/>
              </w:rPr>
            </w:pPr>
          </w:p>
        </w:tc>
        <w:tc>
          <w:tcPr>
            <w:tcW w:w="2497" w:type="dxa"/>
            <w:vMerge w:val="continue"/>
            <w:vAlign w:val="center"/>
          </w:tcPr>
          <w:p>
            <w:pPr>
              <w:keepNext w:val="0"/>
              <w:keepLines w:val="0"/>
              <w:suppressLineNumbers w:val="0"/>
              <w:spacing w:before="0" w:beforeAutospacing="0" w:after="0" w:afterAutospacing="0" w:line="288" w:lineRule="auto"/>
              <w:ind w:left="0" w:right="0"/>
              <w:jc w:val="center"/>
              <w:rPr>
                <w:rFonts w:hint="default"/>
                <w:sz w:val="24"/>
                <w:szCs w:val="24"/>
              </w:rPr>
            </w:pPr>
          </w:p>
        </w:tc>
        <w:tc>
          <w:tcPr>
            <w:tcW w:w="813" w:type="dxa"/>
            <w:vMerge w:val="continue"/>
            <w:vAlign w:val="center"/>
          </w:tcPr>
          <w:p>
            <w:pPr>
              <w:keepNext w:val="0"/>
              <w:keepLines w:val="0"/>
              <w:suppressLineNumbers w:val="0"/>
              <w:spacing w:before="0" w:beforeAutospacing="0" w:after="0" w:afterAutospacing="0" w:line="288" w:lineRule="auto"/>
              <w:ind w:left="0" w:right="0"/>
              <w:jc w:val="center"/>
              <w:rPr>
                <w:rFonts w:hint="default"/>
                <w:sz w:val="24"/>
                <w:szCs w:val="24"/>
              </w:rPr>
            </w:pPr>
          </w:p>
        </w:tc>
        <w:tc>
          <w:tcPr>
            <w:tcW w:w="1996"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rPr>
            </w:pPr>
            <w:r>
              <w:rPr>
                <w:rFonts w:hint="default"/>
                <w:sz w:val="24"/>
                <w:szCs w:val="24"/>
              </w:rPr>
              <w:t>卵石</w:t>
            </w:r>
          </w:p>
        </w:tc>
        <w:tc>
          <w:tcPr>
            <w:tcW w:w="2234" w:type="dxa"/>
            <w:vAlign w:val="center"/>
          </w:tcPr>
          <w:p>
            <w:pPr>
              <w:keepNext w:val="0"/>
              <w:keepLines w:val="0"/>
              <w:widowControl/>
              <w:suppressLineNumbers w:val="0"/>
              <w:spacing w:before="0" w:beforeAutospacing="0" w:after="0" w:afterAutospacing="0"/>
              <w:ind w:left="0" w:right="0"/>
              <w:jc w:val="center"/>
              <w:textAlignment w:val="center"/>
              <w:rPr>
                <w:rFonts w:hint="default"/>
                <w:sz w:val="24"/>
                <w:szCs w:val="24"/>
              </w:rPr>
            </w:pPr>
            <w:r>
              <w:rPr>
                <w:rFonts w:hint="default"/>
                <w:sz w:val="24"/>
                <w:szCs w:val="24"/>
              </w:rPr>
              <w:t>石灰石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细度模数</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2.</w:t>
            </w:r>
            <w:r>
              <w:rPr>
                <w:rFonts w:hint="eastAsia"/>
                <w:sz w:val="24"/>
                <w:szCs w:val="24"/>
              </w:rPr>
              <w:t>5</w:t>
            </w:r>
            <w:r>
              <w:rPr>
                <w:rFonts w:hint="default"/>
                <w:sz w:val="24"/>
                <w:szCs w:val="24"/>
              </w:rPr>
              <w:t>~3.2</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eastAsia"/>
                <w:sz w:val="24"/>
                <w:szCs w:val="24"/>
              </w:rPr>
              <w:t>2.8</w:t>
            </w:r>
            <w:r>
              <w:rPr>
                <w:rFonts w:hint="default"/>
                <w:sz w:val="24"/>
                <w:szCs w:val="24"/>
              </w:rPr>
              <w:t>~3.</w:t>
            </w:r>
            <w:r>
              <w:rPr>
                <w:rFonts w:hint="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2</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级配</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II区</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eastAsia"/>
                <w:sz w:val="24"/>
                <w:szCs w:val="24"/>
              </w:rPr>
              <w:t>I</w:t>
            </w:r>
            <w:r>
              <w:rPr>
                <w:rFonts w:hint="default"/>
                <w:sz w:val="24"/>
                <w:szCs w:val="24"/>
              </w:rPr>
              <w:t>区</w:t>
            </w:r>
            <w:r>
              <w:rPr>
                <w:rFonts w:hint="eastAsia"/>
                <w:sz w:val="24"/>
                <w:szCs w:val="24"/>
              </w:rPr>
              <w:t>、</w:t>
            </w:r>
            <w:r>
              <w:rPr>
                <w:rFonts w:hint="default"/>
                <w:sz w:val="24"/>
                <w:szCs w:val="24"/>
              </w:rPr>
              <w:t>II区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3</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MB值</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≤1.2</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4</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石粉含量（含泥量）</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≤5.0</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5</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泥块含量</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0</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6</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压碎值</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≤16.0</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r>
              <w:rPr>
                <w:rFonts w:hint="eastAsia"/>
                <w:sz w:val="24"/>
                <w:szCs w:val="24"/>
              </w:rPr>
              <w:t>18</w:t>
            </w:r>
            <w:r>
              <w:rPr>
                <w:rFonts w:hint="default"/>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eastAsia"/>
                <w:sz w:val="24"/>
                <w:szCs w:val="24"/>
              </w:rPr>
              <w:t>7</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吸水率</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1996"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≤1.5</w:t>
            </w:r>
          </w:p>
        </w:tc>
        <w:tc>
          <w:tcPr>
            <w:tcW w:w="2234"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8"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8</w:t>
            </w:r>
          </w:p>
        </w:tc>
        <w:tc>
          <w:tcPr>
            <w:tcW w:w="2497"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氯离子含量</w:t>
            </w:r>
          </w:p>
        </w:tc>
        <w:tc>
          <w:tcPr>
            <w:tcW w:w="813" w:type="dxa"/>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default"/>
                <w:sz w:val="24"/>
                <w:szCs w:val="24"/>
              </w:rPr>
              <w:t>%</w:t>
            </w:r>
          </w:p>
        </w:tc>
        <w:tc>
          <w:tcPr>
            <w:tcW w:w="4230" w:type="dxa"/>
            <w:gridSpan w:val="2"/>
            <w:vAlign w:val="center"/>
          </w:tcPr>
          <w:p>
            <w:pPr>
              <w:keepNext w:val="0"/>
              <w:keepLines w:val="0"/>
              <w:suppressLineNumbers w:val="0"/>
              <w:spacing w:before="0" w:beforeAutospacing="0" w:after="0" w:afterAutospacing="0" w:line="288" w:lineRule="auto"/>
              <w:ind w:left="0" w:right="0"/>
              <w:jc w:val="center"/>
              <w:rPr>
                <w:rFonts w:hint="default"/>
                <w:sz w:val="24"/>
                <w:szCs w:val="24"/>
              </w:rPr>
            </w:pPr>
            <w:r>
              <w:rPr>
                <w:rFonts w:hint="eastAsia"/>
                <w:sz w:val="24"/>
                <w:szCs w:val="24"/>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378" w:type="dxa"/>
            <w:gridSpan w:val="5"/>
            <w:vAlign w:val="center"/>
          </w:tcPr>
          <w:p>
            <w:pPr>
              <w:keepNext w:val="0"/>
              <w:keepLines w:val="0"/>
              <w:suppressLineNumbers w:val="0"/>
              <w:spacing w:before="0" w:beforeAutospacing="0" w:after="0" w:afterAutospacing="0" w:line="288" w:lineRule="auto"/>
              <w:ind w:left="0" w:right="0"/>
              <w:rPr>
                <w:rFonts w:hint="default"/>
                <w:sz w:val="24"/>
                <w:szCs w:val="24"/>
              </w:rPr>
            </w:pPr>
            <w:r>
              <w:rPr>
                <w:rFonts w:hint="eastAsia"/>
                <w:sz w:val="24"/>
                <w:szCs w:val="24"/>
              </w:rPr>
              <w:t>注：</w:t>
            </w:r>
            <w:r>
              <w:rPr>
                <w:rFonts w:hint="default"/>
                <w:sz w:val="24"/>
                <w:szCs w:val="24"/>
              </w:rPr>
              <w:t>1、</w:t>
            </w:r>
            <w:r>
              <w:rPr>
                <w:rFonts w:hint="eastAsia"/>
                <w:sz w:val="24"/>
                <w:szCs w:val="24"/>
              </w:rPr>
              <w:t>机制砂的原材不得为风化石、石英砂岩、页岩或砂岩；</w:t>
            </w:r>
          </w:p>
          <w:p>
            <w:pPr>
              <w:keepNext w:val="0"/>
              <w:keepLines w:val="0"/>
              <w:suppressLineNumbers w:val="0"/>
              <w:spacing w:before="0" w:beforeAutospacing="0" w:after="0" w:afterAutospacing="0" w:line="288" w:lineRule="auto"/>
              <w:ind w:left="0" w:right="0" w:firstLine="480" w:firstLineChars="200"/>
              <w:rPr>
                <w:rFonts w:hint="default"/>
                <w:sz w:val="24"/>
                <w:szCs w:val="24"/>
              </w:rPr>
            </w:pPr>
            <w:r>
              <w:rPr>
                <w:rFonts w:hint="eastAsia"/>
                <w:sz w:val="24"/>
                <w:szCs w:val="24"/>
              </w:rPr>
              <w:t>2、机制砂</w:t>
            </w:r>
            <w:r>
              <w:rPr>
                <w:rFonts w:hint="default"/>
                <w:sz w:val="24"/>
                <w:szCs w:val="24"/>
              </w:rPr>
              <w:t>中不得含有大的石块、泥块、磨细钢渣、煤炭及树枝等杂物</w:t>
            </w:r>
            <w:r>
              <w:rPr>
                <w:rFonts w:hint="eastAsia"/>
                <w:sz w:val="24"/>
                <w:szCs w:val="24"/>
              </w:rPr>
              <w:t>；</w:t>
            </w:r>
          </w:p>
          <w:p>
            <w:pPr>
              <w:keepNext w:val="0"/>
              <w:keepLines w:val="0"/>
              <w:suppressLineNumbers w:val="0"/>
              <w:spacing w:before="0" w:beforeAutospacing="0" w:after="0" w:afterAutospacing="0" w:line="288" w:lineRule="auto"/>
              <w:ind w:left="0" w:right="0" w:firstLine="480" w:firstLineChars="200"/>
              <w:rPr>
                <w:rFonts w:hint="default"/>
                <w:color w:val="000000"/>
                <w:sz w:val="24"/>
                <w:szCs w:val="24"/>
              </w:rPr>
            </w:pPr>
            <w:r>
              <w:rPr>
                <w:rFonts w:hint="eastAsia"/>
                <w:color w:val="000000"/>
                <w:sz w:val="24"/>
                <w:szCs w:val="24"/>
              </w:rPr>
              <w:t>3</w:t>
            </w:r>
            <w:r>
              <w:rPr>
                <w:rFonts w:hint="default"/>
                <w:color w:val="000000"/>
                <w:sz w:val="24"/>
                <w:szCs w:val="24"/>
              </w:rPr>
              <w:t>、</w:t>
            </w:r>
            <w:r>
              <w:rPr>
                <w:rFonts w:hint="eastAsia"/>
                <w:color w:val="000000"/>
                <w:sz w:val="24"/>
                <w:szCs w:val="24"/>
              </w:rPr>
              <w:t>机制砂</w:t>
            </w:r>
            <w:r>
              <w:rPr>
                <w:rFonts w:hint="default"/>
                <w:color w:val="000000"/>
                <w:sz w:val="24"/>
                <w:szCs w:val="24"/>
              </w:rPr>
              <w:t>中严格控制铁物质含量小于0.2%；</w:t>
            </w:r>
          </w:p>
          <w:p>
            <w:pPr>
              <w:keepNext w:val="0"/>
              <w:keepLines w:val="0"/>
              <w:suppressLineNumbers w:val="0"/>
              <w:spacing w:before="0" w:beforeAutospacing="0" w:after="0" w:afterAutospacing="0" w:line="288" w:lineRule="auto"/>
              <w:ind w:left="0" w:right="0" w:firstLine="480" w:firstLineChars="200"/>
              <w:rPr>
                <w:rFonts w:hint="default"/>
                <w:color w:val="000000"/>
              </w:rPr>
            </w:pPr>
            <w:r>
              <w:rPr>
                <w:rFonts w:hint="default"/>
                <w:color w:val="000000"/>
                <w:sz w:val="24"/>
                <w:szCs w:val="24"/>
              </w:rPr>
              <w:t>4、</w:t>
            </w:r>
            <w:r>
              <w:rPr>
                <w:rFonts w:hint="eastAsia"/>
                <w:color w:val="000000"/>
                <w:sz w:val="24"/>
                <w:szCs w:val="24"/>
              </w:rPr>
              <w:t>机制砂</w:t>
            </w:r>
            <w:r>
              <w:rPr>
                <w:rFonts w:hint="default"/>
                <w:color w:val="000000"/>
                <w:sz w:val="24"/>
                <w:szCs w:val="24"/>
              </w:rPr>
              <w:t>使用絮凝剂的不得影响混凝土工作性能，如对外加剂掺量造成明显影响的进行退货；</w:t>
            </w:r>
          </w:p>
          <w:p>
            <w:pPr>
              <w:keepNext w:val="0"/>
              <w:keepLines w:val="0"/>
              <w:suppressLineNumbers w:val="0"/>
              <w:spacing w:before="0" w:beforeAutospacing="0" w:after="0" w:afterAutospacing="0" w:line="288" w:lineRule="auto"/>
              <w:ind w:left="0" w:right="0" w:firstLine="480" w:firstLineChars="200"/>
              <w:rPr>
                <w:rFonts w:hint="default"/>
                <w:sz w:val="24"/>
                <w:szCs w:val="24"/>
              </w:rPr>
            </w:pPr>
            <w:r>
              <w:rPr>
                <w:rFonts w:hint="default"/>
                <w:sz w:val="24"/>
                <w:szCs w:val="24"/>
              </w:rPr>
              <w:t>5、</w:t>
            </w:r>
            <w:r>
              <w:rPr>
                <w:rFonts w:hint="eastAsia"/>
                <w:sz w:val="24"/>
                <w:szCs w:val="24"/>
              </w:rPr>
              <w:t>机制砂</w:t>
            </w:r>
            <w:r>
              <w:rPr>
                <w:rFonts w:hint="default"/>
                <w:sz w:val="24"/>
                <w:szCs w:val="24"/>
              </w:rPr>
              <w:t>的放射性、有害物质含量、坚固性及碱集料等指标应符合国家相关标准。</w:t>
            </w:r>
          </w:p>
        </w:tc>
      </w:tr>
    </w:tbl>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（3）石料质量指标</w:t>
      </w:r>
    </w:p>
    <w:tbl>
      <w:tblPr>
        <w:tblStyle w:val="11"/>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809"/>
        <w:gridCol w:w="902"/>
        <w:gridCol w:w="1415"/>
        <w:gridCol w:w="14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序号</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项目</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单位</w:t>
            </w:r>
          </w:p>
        </w:tc>
        <w:tc>
          <w:tcPr>
            <w:tcW w:w="1415" w:type="dxa"/>
            <w:tcMar>
              <w:left w:w="57" w:type="dxa"/>
              <w:right w:w="57" w:type="dxa"/>
            </w:tcMar>
            <w:vAlign w:val="center"/>
          </w:tcPr>
          <w:p>
            <w:pPr>
              <w:keepNext w:val="0"/>
              <w:keepLines w:val="0"/>
              <w:suppressLineNumbers w:val="0"/>
              <w:snapToGrid w:val="0"/>
              <w:spacing w:before="0" w:beforeAutospacing="0" w:after="0" w:afterAutospacing="0"/>
              <w:ind w:left="-29" w:leftChars="-95" w:right="-113" w:rightChars="-54" w:hanging="170" w:hangingChars="71"/>
              <w:jc w:val="center"/>
              <w:rPr>
                <w:rFonts w:hint="default"/>
                <w:sz w:val="24"/>
                <w:szCs w:val="24"/>
              </w:rPr>
            </w:pPr>
            <w:r>
              <w:rPr>
                <w:rFonts w:hint="default"/>
                <w:sz w:val="24"/>
                <w:szCs w:val="24"/>
              </w:rPr>
              <w:t>小碎</w:t>
            </w:r>
          </w:p>
        </w:tc>
        <w:tc>
          <w:tcPr>
            <w:tcW w:w="1415" w:type="dxa"/>
            <w:tcMar>
              <w:left w:w="57" w:type="dxa"/>
              <w:right w:w="57" w:type="dxa"/>
            </w:tcMar>
            <w:vAlign w:val="center"/>
          </w:tcPr>
          <w:p>
            <w:pPr>
              <w:keepNext w:val="0"/>
              <w:keepLines w:val="0"/>
              <w:suppressLineNumbers w:val="0"/>
              <w:snapToGrid w:val="0"/>
              <w:spacing w:before="0" w:beforeAutospacing="0" w:after="0" w:afterAutospacing="0"/>
              <w:ind w:left="-29" w:leftChars="-95" w:right="-113" w:rightChars="-54" w:hanging="170" w:hangingChars="71"/>
              <w:jc w:val="center"/>
              <w:rPr>
                <w:rFonts w:hint="default"/>
                <w:sz w:val="24"/>
                <w:szCs w:val="24"/>
              </w:rPr>
            </w:pPr>
            <w:r>
              <w:rPr>
                <w:rFonts w:hint="default"/>
                <w:sz w:val="24"/>
                <w:szCs w:val="24"/>
              </w:rPr>
              <w:t>小碎</w:t>
            </w:r>
          </w:p>
        </w:tc>
        <w:tc>
          <w:tcPr>
            <w:tcW w:w="1417" w:type="dxa"/>
            <w:tcMar>
              <w:left w:w="57" w:type="dxa"/>
              <w:right w:w="57" w:type="dxa"/>
            </w:tcMar>
            <w:vAlign w:val="center"/>
          </w:tcPr>
          <w:p>
            <w:pPr>
              <w:pStyle w:val="2"/>
              <w:suppressLineNumbers w:val="0"/>
              <w:snapToGrid w:val="0"/>
              <w:spacing w:before="0" w:beforeAutospacing="0" w:after="0" w:afterAutospacing="0" w:line="240" w:lineRule="auto"/>
              <w:ind w:left="-29" w:leftChars="-95" w:right="-113" w:rightChars="-54" w:hanging="170" w:hangingChars="71"/>
              <w:jc w:val="center"/>
              <w:rPr>
                <w:rFonts w:hint="default"/>
                <w:sz w:val="24"/>
                <w:szCs w:val="24"/>
              </w:rPr>
            </w:pPr>
            <w:r>
              <w:rPr>
                <w:rFonts w:hint="eastAsia"/>
                <w:b w:val="0"/>
                <w:bCs w:val="0"/>
                <w:sz w:val="24"/>
                <w:szCs w:val="24"/>
              </w:rPr>
              <w:t>瓜子片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级配</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mm</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16</w:t>
            </w:r>
            <w:r>
              <w:rPr>
                <w:rFonts w:hint="eastAsia"/>
                <w:sz w:val="24"/>
                <w:szCs w:val="24"/>
              </w:rPr>
              <w:t>~</w:t>
            </w:r>
            <w:r>
              <w:rPr>
                <w:rFonts w:hint="default"/>
                <w:sz w:val="24"/>
                <w:szCs w:val="24"/>
              </w:rPr>
              <w:t>31.5</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16</w:t>
            </w:r>
            <w:r>
              <w:rPr>
                <w:rFonts w:hint="eastAsia"/>
                <w:sz w:val="24"/>
                <w:szCs w:val="24"/>
              </w:rPr>
              <w:t>~</w:t>
            </w:r>
            <w:r>
              <w:rPr>
                <w:rFonts w:hint="default"/>
                <w:sz w:val="24"/>
                <w:szCs w:val="24"/>
              </w:rPr>
              <w:t>25</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5</w:t>
            </w:r>
            <w:r>
              <w:rPr>
                <w:rFonts w:hint="eastAsia"/>
                <w:sz w:val="24"/>
                <w:szCs w:val="24"/>
              </w:rPr>
              <w:t>~</w:t>
            </w:r>
            <w:r>
              <w:rPr>
                <w:rFonts w:hint="default"/>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2</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针片状颗粒含量</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≤10</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r>
              <w:rPr>
                <w:rFonts w:hint="eastAsia"/>
                <w:sz w:val="24"/>
                <w:szCs w:val="24"/>
              </w:rPr>
              <w:t>10</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3</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石粉含量</w:t>
            </w:r>
            <w:r>
              <w:rPr>
                <w:rFonts w:hint="eastAsia"/>
                <w:sz w:val="24"/>
                <w:szCs w:val="24"/>
              </w:rPr>
              <w:t>（含泥量）</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≤2</w:t>
            </w:r>
            <w:r>
              <w:rPr>
                <w:rFonts w:hint="eastAsia"/>
                <w:sz w:val="24"/>
                <w:szCs w:val="24"/>
              </w:rPr>
              <w:t>.0</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r>
              <w:rPr>
                <w:rFonts w:hint="eastAsia"/>
                <w:sz w:val="24"/>
                <w:szCs w:val="24"/>
              </w:rPr>
              <w:t>2.0</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≤3</w:t>
            </w: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4</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泥块含量</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≤0.5</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≤0.</w:t>
            </w:r>
            <w:r>
              <w:rPr>
                <w:rFonts w:hint="eastAsia"/>
                <w:sz w:val="24"/>
                <w:szCs w:val="24"/>
              </w:rPr>
              <w:t>5</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5</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压碎值指标</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≤13</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w:t>
            </w:r>
            <w:r>
              <w:rPr>
                <w:rFonts w:hint="eastAsia"/>
                <w:sz w:val="24"/>
                <w:szCs w:val="24"/>
              </w:rPr>
              <w:t>3</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6</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吸水率</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≤0.7</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≤1.0</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7</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16mm以下筛分</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 xml:space="preserve">≤50 </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r>
              <w:rPr>
                <w:rFonts w:hint="eastAsia"/>
                <w:sz w:val="24"/>
                <w:szCs w:val="24"/>
              </w:rPr>
              <w:t>50</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75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eastAsia"/>
                <w:sz w:val="24"/>
                <w:szCs w:val="24"/>
              </w:rPr>
              <w:t>8</w:t>
            </w:r>
          </w:p>
        </w:tc>
        <w:tc>
          <w:tcPr>
            <w:tcW w:w="2809"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5mm以下筛分</w:t>
            </w:r>
          </w:p>
        </w:tc>
        <w:tc>
          <w:tcPr>
            <w:tcW w:w="902"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 xml:space="preserve">≤5 </w:t>
            </w:r>
          </w:p>
        </w:tc>
        <w:tc>
          <w:tcPr>
            <w:tcW w:w="1415"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w:t>
            </w:r>
            <w:r>
              <w:rPr>
                <w:rFonts w:hint="eastAsia"/>
                <w:sz w:val="24"/>
                <w:szCs w:val="24"/>
              </w:rPr>
              <w:t>5</w:t>
            </w:r>
          </w:p>
        </w:tc>
        <w:tc>
          <w:tcPr>
            <w:tcW w:w="1417" w:type="dxa"/>
            <w:tcMar>
              <w:left w:w="57" w:type="dxa"/>
              <w:right w:w="57" w:type="dxa"/>
            </w:tcMar>
            <w:vAlign w:val="center"/>
          </w:tcPr>
          <w:p>
            <w:pPr>
              <w:keepNext w:val="0"/>
              <w:keepLines w:val="0"/>
              <w:suppressLineNumbers w:val="0"/>
              <w:spacing w:before="0" w:beforeAutospacing="0" w:after="0" w:afterAutospacing="0"/>
              <w:ind w:left="0" w:right="0"/>
              <w:jc w:val="center"/>
              <w:rPr>
                <w:rFonts w:hint="default"/>
                <w:sz w:val="24"/>
                <w:szCs w:val="24"/>
              </w:rPr>
            </w:pPr>
            <w:r>
              <w:rPr>
                <w:rFonts w:hint="default"/>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jc w:val="center"/>
        </w:trPr>
        <w:tc>
          <w:tcPr>
            <w:tcW w:w="8717" w:type="dxa"/>
            <w:gridSpan w:val="6"/>
            <w:tcMar>
              <w:left w:w="57" w:type="dxa"/>
              <w:right w:w="57" w:type="dxa"/>
            </w:tcMar>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注：1、</w:t>
            </w:r>
            <w:r>
              <w:rPr>
                <w:rFonts w:hint="default"/>
                <w:sz w:val="24"/>
                <w:szCs w:val="24"/>
              </w:rPr>
              <w:t>石料不得含有钢渣、炉渣、石灰、煤炭、风化石、树枝、煤矸石、页岩、耐火砖等杂物，不得含有大的石块或泥块</w:t>
            </w:r>
            <w:r>
              <w:rPr>
                <w:rFonts w:hint="eastAsia"/>
                <w:sz w:val="24"/>
                <w:szCs w:val="24"/>
              </w:rPr>
              <w:t>。</w:t>
            </w:r>
          </w:p>
          <w:p>
            <w:pPr>
              <w:keepNext w:val="0"/>
              <w:keepLines w:val="0"/>
              <w:suppressLineNumbers w:val="0"/>
              <w:spacing w:before="0" w:beforeAutospacing="0" w:after="0" w:afterAutospacing="0"/>
              <w:ind w:left="0" w:right="0" w:firstLine="480" w:firstLineChars="200"/>
              <w:rPr>
                <w:rFonts w:hint="default"/>
                <w:sz w:val="24"/>
                <w:szCs w:val="24"/>
              </w:rPr>
            </w:pPr>
            <w:r>
              <w:rPr>
                <w:rFonts w:hint="eastAsia"/>
                <w:sz w:val="24"/>
                <w:szCs w:val="24"/>
              </w:rPr>
              <w:t>2、</w:t>
            </w:r>
            <w:r>
              <w:rPr>
                <w:rFonts w:hint="default"/>
                <w:sz w:val="24"/>
                <w:szCs w:val="24"/>
              </w:rPr>
              <w:t>石料的坚固性、有机物含量及碱活性等指标执行国家相关标准</w:t>
            </w:r>
            <w:r>
              <w:rPr>
                <w:rFonts w:hint="eastAsia"/>
                <w:sz w:val="24"/>
                <w:szCs w:val="24"/>
              </w:rPr>
              <w:t>。</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3.砂石扣水标准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公司明确砂石材料水分扣减标准，以下为参考值：</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（1）石料水份实测值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2.0%，不扣水份；石料水份＞2.0%，超出部分按实测值进行扣除。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（2）砂水份实测值</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6.0%，按4%进行扣除；砂水份实测值＞6.0%，且</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10.0%，按实测值-2%进行扣除；砂水份实测值＞10.0%，按实测值进行扣除。</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（3）特殊情况下砂石扣水标准由公司统一发布并执行。</w:t>
      </w:r>
    </w:p>
    <w:p>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公司可根据外部市场环境变化，进行相应原材料质量指标的调整，执行实时质量指令。</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招</w:t>
      </w:r>
      <w:r>
        <w:rPr>
          <w:rFonts w:hint="eastAsia" w:ascii="黑体" w:hAnsi="黑体" w:eastAsia="黑体" w:cs="黑体"/>
          <w:sz w:val="32"/>
          <w:szCs w:val="32"/>
        </w:rPr>
        <w:t>标采购办法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1.采购周期</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公司根据预期的生产计划，提前</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天发布</w:t>
      </w:r>
      <w:r>
        <w:rPr>
          <w:rFonts w:ascii="仿宋_GB2312" w:hAnsi="Times New Roman" w:eastAsia="仿宋_GB2312" w:cs="Times New Roman"/>
          <w:sz w:val="32"/>
          <w:szCs w:val="32"/>
        </w:rPr>
        <w:t>招标</w:t>
      </w:r>
      <w:r>
        <w:rPr>
          <w:rFonts w:hint="eastAsia" w:ascii="仿宋_GB2312" w:hAnsi="Times New Roman" w:eastAsia="仿宋_GB2312" w:cs="Times New Roman"/>
          <w:sz w:val="32"/>
          <w:szCs w:val="32"/>
        </w:rPr>
        <w:t>公告。</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2.采购数量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每期</w:t>
      </w:r>
      <w:r>
        <w:rPr>
          <w:rFonts w:hint="eastAsia" w:ascii="仿宋_GB2312" w:hAnsi="Times New Roman" w:eastAsia="仿宋_GB2312" w:cs="Times New Roman"/>
          <w:sz w:val="32"/>
          <w:szCs w:val="32"/>
          <w:lang w:eastAsia="zh-CN"/>
        </w:rPr>
        <w:t>招</w:t>
      </w:r>
      <w:r>
        <w:rPr>
          <w:rFonts w:hint="eastAsia" w:ascii="仿宋_GB2312" w:hAnsi="Times New Roman" w:eastAsia="仿宋_GB2312" w:cs="Times New Roman"/>
          <w:sz w:val="32"/>
          <w:szCs w:val="32"/>
        </w:rPr>
        <w:t>标采购将分解成若干标的，到港原则上每标的3万吨。</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3.报价要求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（1）每期采购</w:t>
      </w:r>
      <w:r>
        <w:rPr>
          <w:rFonts w:ascii="仿宋_GB2312" w:hAnsi="Times New Roman" w:eastAsia="仿宋_GB2312" w:cs="Times New Roman"/>
          <w:sz w:val="32"/>
          <w:szCs w:val="32"/>
        </w:rPr>
        <w:t>招</w:t>
      </w:r>
      <w:r>
        <w:rPr>
          <w:rFonts w:hint="eastAsia" w:ascii="仿宋_GB2312" w:hAnsi="Times New Roman" w:eastAsia="仿宋_GB2312" w:cs="Times New Roman"/>
          <w:sz w:val="32"/>
          <w:szCs w:val="32"/>
        </w:rPr>
        <w:t>标公告中公司将注明付款方式，</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标人参与竞价即代表认可公告中所对应的付款方式，并根据该付款方式作出报价。</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标人报价文件中不得改动公告中所载明的付款方式，否则为无效报价，作废标处理。</w:t>
      </w:r>
    </w:p>
    <w:p>
      <w:pPr>
        <w:spacing w:line="56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（2）竞价交易采取一轮报价，报价全部为到达指定码头的含税靠港价，</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标人需提供增值税专用发票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税率13%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w:t>
      </w:r>
      <w:r>
        <w:rPr>
          <w:rFonts w:ascii="仿宋_GB2312" w:hAnsi="Times New Roman" w:eastAsia="仿宋_GB2312" w:cs="Times New Roman"/>
          <w:color w:val="auto"/>
          <w:sz w:val="32"/>
          <w:szCs w:val="32"/>
        </w:rPr>
        <w:t>所报单价均按</w:t>
      </w:r>
      <w:r>
        <w:rPr>
          <w:rFonts w:hint="eastAsia" w:ascii="仿宋_GB2312" w:hAnsi="Times New Roman" w:eastAsia="仿宋_GB2312" w:cs="Times New Roman"/>
          <w:color w:val="auto"/>
          <w:sz w:val="32"/>
          <w:szCs w:val="32"/>
          <w:lang w:val="en-US" w:eastAsia="zh-CN"/>
        </w:rPr>
        <w:t>1</w:t>
      </w:r>
      <w:r>
        <w:rPr>
          <w:rFonts w:ascii="仿宋_GB2312" w:hAnsi="Times New Roman" w:eastAsia="仿宋_GB2312" w:cs="Times New Roman"/>
          <w:color w:val="auto"/>
          <w:sz w:val="32"/>
          <w:szCs w:val="32"/>
        </w:rPr>
        <w:t>3%税率填报，</w:t>
      </w:r>
      <w:r>
        <w:rPr>
          <w:rFonts w:hint="eastAsia" w:ascii="仿宋_GB2312" w:hAnsi="Times New Roman" w:eastAsia="仿宋_GB2312" w:cs="Times New Roman"/>
          <w:color w:val="000000"/>
          <w:sz w:val="32"/>
          <w:szCs w:val="32"/>
        </w:rPr>
        <w:t>在评标时</w:t>
      </w:r>
      <w:r>
        <w:rPr>
          <w:rFonts w:hint="eastAsia" w:ascii="仿宋_GB2312" w:hAnsi="Times New Roman" w:eastAsia="仿宋_GB2312" w:cs="Times New Roman"/>
          <w:color w:val="000000"/>
          <w:sz w:val="32"/>
          <w:szCs w:val="32"/>
          <w:lang w:val="en-US" w:eastAsia="zh-CN"/>
        </w:rPr>
        <w:t>以价格从低到高</w:t>
      </w:r>
      <w:r>
        <w:rPr>
          <w:rFonts w:hint="eastAsia" w:ascii="仿宋_GB2312" w:hAnsi="Times New Roman" w:eastAsia="仿宋_GB2312" w:cs="Times New Roman"/>
          <w:color w:val="000000"/>
          <w:sz w:val="32"/>
          <w:szCs w:val="32"/>
        </w:rPr>
        <w:t>排序。</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（3）每个</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标人可</w:t>
      </w:r>
      <w:r>
        <w:rPr>
          <w:rFonts w:hint="eastAsia" w:ascii="仿宋_GB2312" w:hAnsi="Times New Roman" w:eastAsia="仿宋_GB2312" w:cs="Times New Roman"/>
          <w:sz w:val="32"/>
          <w:szCs w:val="32"/>
          <w:lang w:eastAsia="zh-CN"/>
        </w:rPr>
        <w:t>投</w:t>
      </w:r>
      <w:r>
        <w:rPr>
          <w:rFonts w:hint="default" w:ascii="仿宋_GB2312" w:hAnsi="Times New Roman" w:eastAsia="仿宋_GB2312" w:cs="Times New Roman"/>
          <w:sz w:val="32"/>
          <w:szCs w:val="32"/>
        </w:rPr>
        <w:t>标</w:t>
      </w:r>
      <w:r>
        <w:rPr>
          <w:rFonts w:hint="eastAsia" w:ascii="仿宋_GB2312" w:hAnsi="Times New Roman" w:eastAsia="仿宋_GB2312" w:cs="Times New Roman"/>
          <w:sz w:val="32"/>
          <w:szCs w:val="32"/>
        </w:rPr>
        <w:t>一种或多种产品，但每种产品最多只能参与两个标的</w:t>
      </w:r>
      <w:r>
        <w:rPr>
          <w:rFonts w:hint="eastAsia" w:ascii="仿宋_GB2312" w:hAnsi="Times New Roman" w:eastAsia="仿宋_GB2312" w:cs="Times New Roman"/>
          <w:sz w:val="32"/>
          <w:szCs w:val="32"/>
          <w:lang w:eastAsia="zh-CN"/>
        </w:rPr>
        <w:t>投</w:t>
      </w:r>
      <w:r>
        <w:rPr>
          <w:rFonts w:hint="default" w:ascii="仿宋_GB2312" w:hAnsi="Times New Roman" w:eastAsia="仿宋_GB2312" w:cs="Times New Roman"/>
          <w:sz w:val="32"/>
          <w:szCs w:val="32"/>
        </w:rPr>
        <w:t>标</w:t>
      </w:r>
      <w:r>
        <w:rPr>
          <w:rFonts w:hint="eastAsia" w:ascii="仿宋_GB2312" w:hAnsi="Times New Roman" w:eastAsia="仿宋_GB2312" w:cs="Times New Roman"/>
          <w:sz w:val="32"/>
          <w:szCs w:val="32"/>
          <w:lang w:eastAsia="zh-CN"/>
        </w:rPr>
        <w:t>，每个投标单位总投</w:t>
      </w:r>
      <w:r>
        <w:rPr>
          <w:rFonts w:hint="default" w:ascii="仿宋_GB2312" w:hAnsi="Times New Roman" w:eastAsia="仿宋_GB2312" w:cs="Times New Roman"/>
          <w:sz w:val="32"/>
          <w:szCs w:val="32"/>
        </w:rPr>
        <w:t>标</w:t>
      </w:r>
      <w:r>
        <w:rPr>
          <w:rFonts w:hint="eastAsia" w:ascii="仿宋_GB2312" w:hAnsi="Times New Roman" w:eastAsia="仿宋_GB2312" w:cs="Times New Roman"/>
          <w:sz w:val="32"/>
          <w:szCs w:val="32"/>
        </w:rPr>
        <w:t>量不得超过6万吨</w:t>
      </w:r>
      <w:r>
        <w:rPr>
          <w:rFonts w:hint="eastAsia" w:ascii="仿宋_GB2312" w:hAnsi="Times New Roman" w:eastAsia="仿宋_GB2312" w:cs="Times New Roman"/>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（4）报价文件由</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标人法定代表人或其授权委托代理人签名并加盖公章。</w:t>
      </w:r>
    </w:p>
    <w:p>
      <w:pPr>
        <w:spacing w:line="56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（5）报价高于最高限价(开标当天公示)的或</w:t>
      </w:r>
      <w:r>
        <w:rPr>
          <w:rFonts w:hint="default" w:ascii="仿宋_GB2312" w:hAnsi="仿宋_GB2312" w:eastAsia="仿宋_GB2312" w:cs="仿宋_GB2312"/>
          <w:b w:val="0"/>
          <w:bCs w:val="0"/>
          <w:color w:val="000000"/>
          <w:sz w:val="32"/>
          <w:szCs w:val="32"/>
        </w:rPr>
        <w:t>招标</w:t>
      </w:r>
      <w:r>
        <w:rPr>
          <w:rFonts w:hint="eastAsia" w:ascii="仿宋_GB2312" w:hAnsi="仿宋_GB2312" w:eastAsia="仿宋_GB2312" w:cs="仿宋_GB2312"/>
          <w:b w:val="0"/>
          <w:bCs w:val="0"/>
          <w:color w:val="000000"/>
          <w:sz w:val="32"/>
          <w:szCs w:val="32"/>
        </w:rPr>
        <w:t>份数高于最高</w:t>
      </w:r>
      <w:r>
        <w:rPr>
          <w:rFonts w:hint="default" w:ascii="仿宋_GB2312" w:hAnsi="仿宋_GB2312" w:eastAsia="仿宋_GB2312" w:cs="仿宋_GB2312"/>
          <w:b w:val="0"/>
          <w:bCs w:val="0"/>
          <w:color w:val="000000"/>
          <w:sz w:val="32"/>
          <w:szCs w:val="32"/>
        </w:rPr>
        <w:t>招标</w:t>
      </w:r>
      <w:r>
        <w:rPr>
          <w:rFonts w:hint="eastAsia" w:ascii="仿宋_GB2312" w:hAnsi="仿宋_GB2312" w:eastAsia="仿宋_GB2312" w:cs="仿宋_GB2312"/>
          <w:b w:val="0"/>
          <w:bCs w:val="0"/>
          <w:color w:val="000000"/>
          <w:sz w:val="32"/>
          <w:szCs w:val="32"/>
        </w:rPr>
        <w:t>份数的，为无效报价；</w:t>
      </w:r>
      <w:r>
        <w:rPr>
          <w:rFonts w:hint="default" w:ascii="仿宋_GB2312" w:hAnsi="仿宋_GB2312" w:eastAsia="仿宋_GB2312" w:cs="仿宋_GB2312"/>
          <w:b w:val="0"/>
          <w:bCs w:val="0"/>
          <w:color w:val="000000"/>
          <w:sz w:val="32"/>
          <w:szCs w:val="32"/>
        </w:rPr>
        <w:t>招标</w:t>
      </w:r>
      <w:r>
        <w:rPr>
          <w:rFonts w:hint="eastAsia" w:ascii="仿宋_GB2312" w:hAnsi="仿宋_GB2312" w:eastAsia="仿宋_GB2312" w:cs="仿宋_GB2312"/>
          <w:b w:val="0"/>
          <w:bCs w:val="0"/>
          <w:color w:val="000000"/>
          <w:sz w:val="32"/>
          <w:szCs w:val="32"/>
        </w:rPr>
        <w:t>报价单如有计算错误或不按公告载明的交易量进行报价的，为无效报价。</w:t>
      </w:r>
    </w:p>
    <w:p>
      <w:pPr>
        <w:spacing w:line="560" w:lineRule="exact"/>
        <w:ind w:firstLine="640" w:firstLineChars="200"/>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（6）</w:t>
      </w:r>
      <w:r>
        <w:rPr>
          <w:rFonts w:hint="default" w:ascii="仿宋_GB2312" w:hAnsi="仿宋_GB2312" w:eastAsia="仿宋_GB2312" w:cs="仿宋_GB2312"/>
          <w:b w:val="0"/>
          <w:bCs w:val="0"/>
          <w:color w:val="000000"/>
          <w:sz w:val="32"/>
          <w:szCs w:val="32"/>
        </w:rPr>
        <w:t>招标</w:t>
      </w:r>
      <w:r>
        <w:rPr>
          <w:rFonts w:hint="eastAsia" w:ascii="仿宋_GB2312" w:hAnsi="仿宋_GB2312" w:eastAsia="仿宋_GB2312" w:cs="仿宋_GB2312"/>
          <w:b w:val="0"/>
          <w:bCs w:val="0"/>
          <w:color w:val="000000"/>
          <w:sz w:val="32"/>
          <w:szCs w:val="32"/>
        </w:rPr>
        <w:t>报价单中应明确产品种类、数量、单价，币种为人民币。报价单价单位为：元/吨，保留至小数点后两位。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（7）报价文件一式两份（一正一副），</w:t>
      </w:r>
      <w:r>
        <w:rPr>
          <w:rFonts w:ascii="仿宋_GB2312" w:hAnsi="仿宋_GB2312" w:eastAsia="仿宋_GB2312" w:cs="仿宋_GB2312"/>
          <w:sz w:val="32"/>
          <w:szCs w:val="32"/>
        </w:rPr>
        <w:t>报价单</w:t>
      </w:r>
      <w:r>
        <w:rPr>
          <w:rFonts w:hint="eastAsia" w:ascii="仿宋_GB2312" w:hAnsi="仿宋_GB2312" w:eastAsia="仿宋_GB2312" w:cs="仿宋_GB2312"/>
          <w:sz w:val="32"/>
          <w:szCs w:val="32"/>
        </w:rPr>
        <w:t>上清晰标记“正本”或“副本”，正、副本报价不一致时以“正本”为准。正本及副本合并在一个档案袋中密封包装，封口处须加盖公章密封，外包装须写明该报价文件对应的公告（</w:t>
      </w:r>
      <w:r>
        <w:rPr>
          <w:rFonts w:hint="default" w:ascii="仿宋_GB2312" w:hAnsi="仿宋_GB2312" w:eastAsia="仿宋_GB2312" w:cs="仿宋_GB2312"/>
          <w:sz w:val="32"/>
          <w:szCs w:val="32"/>
        </w:rPr>
        <w:t>招标</w:t>
      </w:r>
      <w:r>
        <w:rPr>
          <w:rFonts w:hint="eastAsia" w:ascii="仿宋_GB2312" w:hAnsi="仿宋_GB2312" w:eastAsia="仿宋_GB2312" w:cs="仿宋_GB2312"/>
          <w:sz w:val="32"/>
          <w:szCs w:val="32"/>
        </w:rPr>
        <w:t>交易编号）。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外包装</w:t>
      </w:r>
      <w:r>
        <w:rPr>
          <w:rFonts w:hint="eastAsia" w:ascii="仿宋_GB2312" w:hAnsi="仿宋_GB2312" w:eastAsia="仿宋_GB2312" w:cs="仿宋_GB2312"/>
          <w:sz w:val="32"/>
          <w:szCs w:val="32"/>
        </w:rPr>
        <w:t>未按要求密封</w:t>
      </w:r>
      <w:r>
        <w:rPr>
          <w:rFonts w:ascii="仿宋_GB2312" w:hAnsi="仿宋_GB2312" w:eastAsia="仿宋_GB2312" w:cs="仿宋_GB2312"/>
          <w:sz w:val="32"/>
          <w:szCs w:val="32"/>
        </w:rPr>
        <w:t>、加盖公章</w:t>
      </w:r>
      <w:r>
        <w:rPr>
          <w:rFonts w:hint="eastAsia" w:ascii="仿宋_GB2312" w:hAnsi="仿宋_GB2312" w:eastAsia="仿宋_GB2312" w:cs="仿宋_GB2312"/>
          <w:sz w:val="32"/>
          <w:szCs w:val="32"/>
        </w:rPr>
        <w:t>和加注</w:t>
      </w:r>
      <w:r>
        <w:rPr>
          <w:rFonts w:ascii="仿宋_GB2312" w:hAnsi="仿宋_GB2312" w:eastAsia="仿宋_GB2312" w:cs="仿宋_GB2312"/>
          <w:sz w:val="32"/>
          <w:szCs w:val="32"/>
        </w:rPr>
        <w:t>招标交易编号</w:t>
      </w:r>
      <w:r>
        <w:rPr>
          <w:rFonts w:hint="eastAsia" w:ascii="仿宋_GB2312" w:hAnsi="仿宋_GB2312" w:eastAsia="仿宋_GB2312" w:cs="仿宋_GB2312"/>
          <w:sz w:val="32"/>
          <w:szCs w:val="32"/>
        </w:rPr>
        <w:t>的报价文件，公司一律不予接收。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标人如中标，在合同履约期间价格保持不变，不因市场波动而调价，因市场价格波动引起的风险由双方各自承担。</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标人中标后需按公司计划要求按时足量供应，除不可抗力因素外，无论何种因素导致的供应不及时或供应量不足而影响到公司混凝土生产的，则对中标人未完成余量部分按</w:t>
      </w:r>
      <w:r>
        <w:rPr>
          <w:rFonts w:hint="eastAsia" w:ascii="仿宋_GB2312" w:hAnsi="仿宋_GB2312" w:eastAsia="仿宋_GB2312" w:cs="仿宋_GB2312"/>
          <w:color w:val="FF0000"/>
          <w:sz w:val="32"/>
          <w:szCs w:val="32"/>
          <w:u w:val="single"/>
          <w:lang w:val="en-US" w:eastAsia="zh-CN"/>
        </w:rPr>
        <w:t>5</w:t>
      </w:r>
      <w:r>
        <w:rPr>
          <w:rFonts w:hint="eastAsia" w:ascii="仿宋_GB2312" w:hAnsi="仿宋_GB2312" w:eastAsia="仿宋_GB2312" w:cs="仿宋_GB2312"/>
          <w:sz w:val="32"/>
          <w:szCs w:val="32"/>
        </w:rPr>
        <w:t>元/吨从履约保证金中扣除，最高为履约保证金扣完为止。</w:t>
      </w:r>
      <w:r>
        <w:rPr>
          <w:rFonts w:hint="eastAsia" w:ascii="仿宋_GB2312" w:hAnsi="仿宋_GB2312" w:eastAsia="仿宋_GB2312" w:cs="仿宋_GB2312"/>
          <w:color w:val="auto"/>
          <w:sz w:val="32"/>
          <w:szCs w:val="32"/>
        </w:rPr>
        <w:t>因公司遇到国家法律法规、政策、疫情原因等特殊情况导致减产或库满而要求中标单位减量供应或延时供货的，</w:t>
      </w:r>
      <w:r>
        <w:rPr>
          <w:rFonts w:hint="default" w:ascii="仿宋_GB2312" w:hAnsi="仿宋_GB2312" w:eastAsia="仿宋_GB2312" w:cs="仿宋_GB2312"/>
          <w:color w:val="auto"/>
          <w:sz w:val="32"/>
          <w:szCs w:val="32"/>
        </w:rPr>
        <w:t>招标</w:t>
      </w:r>
      <w:r>
        <w:rPr>
          <w:rFonts w:hint="eastAsia" w:ascii="仿宋_GB2312" w:hAnsi="仿宋_GB2312" w:eastAsia="仿宋_GB2312" w:cs="仿宋_GB2312"/>
          <w:color w:val="auto"/>
          <w:sz w:val="32"/>
          <w:szCs w:val="32"/>
        </w:rPr>
        <w:t>人不以减量或延时供货原因调整价格。</w:t>
      </w:r>
    </w:p>
    <w:p>
      <w:pPr>
        <w:spacing w:line="560" w:lineRule="exact"/>
        <w:ind w:firstLine="640" w:firstLineChars="200"/>
        <w:rPr>
          <w:rFonts w:hint="eastAsia" w:ascii="仿宋_GB2312" w:hAnsi="仿宋_GB2312" w:eastAsia="仿宋_GB2312" w:cs="仿宋_GB2312"/>
          <w:color w:val="auto"/>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pPr>
      <w:r>
        <w:rPr>
          <w:rFonts w:hint="eastAsia" w:ascii="仿宋_GB2312" w:hAnsi="仿宋_GB2312" w:eastAsia="仿宋_GB2312" w:cs="仿宋_GB2312"/>
          <w:sz w:val="32"/>
          <w:szCs w:val="32"/>
        </w:rPr>
        <w:t>4.交货地点</w:t>
      </w:r>
    </w:p>
    <w:tbl>
      <w:tblPr>
        <w:tblStyle w:val="12"/>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772"/>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类别</w:t>
            </w: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名称</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restart"/>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码头</w:t>
            </w: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古雄</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南京市雨花台区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海华</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南京经济技术开发区</w:t>
            </w:r>
            <w:r>
              <w:rPr>
                <w:rFonts w:hint="default" w:ascii="宋体" w:hAnsi="宋体" w:eastAsia="宋体" w:cs="宋体"/>
                <w:sz w:val="24"/>
                <w:szCs w:val="24"/>
              </w:rPr>
              <w:t>新港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远锦</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快捷</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安徽省马鞍山市花山区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金固</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安徽省马鞍山市和县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七坝</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南京市浦口区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海宏</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南京市江宁滨江经济开发区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r>
              <w:rPr>
                <w:rFonts w:hint="eastAsia" w:ascii="宋体" w:hAnsi="宋体" w:eastAsia="宋体" w:cs="宋体"/>
                <w:sz w:val="24"/>
                <w:szCs w:val="24"/>
              </w:rPr>
              <w:t>关门桥</w:t>
            </w:r>
          </w:p>
        </w:tc>
        <w:tc>
          <w:tcPr>
            <w:tcW w:w="5554"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sz w:val="24"/>
                <w:szCs w:val="24"/>
              </w:rPr>
            </w:pPr>
            <w:r>
              <w:rPr>
                <w:rFonts w:hint="eastAsia" w:ascii="宋体" w:hAnsi="宋体" w:eastAsia="宋体" w:cs="宋体"/>
                <w:sz w:val="24"/>
                <w:szCs w:val="24"/>
              </w:rPr>
              <w:t>南京市六合区关门桥路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恒江港</w:t>
            </w:r>
          </w:p>
        </w:tc>
        <w:tc>
          <w:tcPr>
            <w:tcW w:w="555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南京市雨花区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33" w:type="dxa"/>
            <w:vMerge w:val="continue"/>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FF0000"/>
                <w:sz w:val="24"/>
                <w:szCs w:val="24"/>
              </w:rPr>
            </w:pPr>
          </w:p>
        </w:tc>
        <w:tc>
          <w:tcPr>
            <w:tcW w:w="177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大道河</w:t>
            </w:r>
          </w:p>
        </w:tc>
        <w:tc>
          <w:tcPr>
            <w:tcW w:w="5554"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镇江市下蜀镇</w:t>
            </w:r>
          </w:p>
        </w:tc>
      </w:tr>
    </w:tbl>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5.计量方式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采购产品一律以本公司实际称重数量，并扣减水分后为结算数量。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6.评标方式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（1）公司设立专门的评标委员会，负责评标工作，同时本公司纪检人员全程参与监督。</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（2）评标办法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评标坚持以价格为主导，在独立开标室内现场公开开标，全程录像，评标依据</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标人有效报价由低到高排序，依次确定竞得人，直至标的数排满为止。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①如出现</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标人报价相同的情况，对相同报价的</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标人，实行平均分配。</w:t>
      </w:r>
    </w:p>
    <w:p>
      <w:pPr>
        <w:spacing w:line="56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②公司设定</w:t>
      </w:r>
      <w:r>
        <w:rPr>
          <w:rFonts w:hint="eastAsia" w:ascii="仿宋_GB2312" w:hAnsi="Times New Roman" w:eastAsia="仿宋_GB2312" w:cs="Times New Roman"/>
          <w:sz w:val="32"/>
          <w:szCs w:val="32"/>
        </w:rPr>
        <w:t>最高限价，</w:t>
      </w:r>
      <w:r>
        <w:rPr>
          <w:rFonts w:hint="eastAsia" w:ascii="仿宋_GB2312" w:hAnsi="Times New Roman" w:eastAsia="仿宋_GB2312" w:cs="Times New Roman"/>
          <w:color w:val="000000"/>
          <w:sz w:val="32"/>
          <w:szCs w:val="32"/>
        </w:rPr>
        <w:t>最高限价于开标前由公司确定</w:t>
      </w:r>
      <w:r>
        <w:rPr>
          <w:rFonts w:hint="eastAsia" w:ascii="仿宋_GB2312" w:hAnsi="Times New Roman" w:eastAsia="仿宋_GB2312" w:cs="Times New Roman"/>
          <w:sz w:val="32"/>
          <w:szCs w:val="32"/>
        </w:rPr>
        <w:t>，并密封盖章，开标当日由纪检监督人员开封并宣布。</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标人报价高于最高限价的，为无效报价。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标流程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①公司纪检监督人员宣布</w:t>
      </w:r>
      <w:r>
        <w:rPr>
          <w:rFonts w:hint="default" w:ascii="仿宋_GB2312" w:hAnsi="仿宋_GB2312" w:eastAsia="仿宋_GB2312" w:cs="仿宋_GB2312"/>
          <w:sz w:val="32"/>
          <w:szCs w:val="32"/>
        </w:rPr>
        <w:t>招标</w:t>
      </w:r>
      <w:r>
        <w:rPr>
          <w:rFonts w:hint="eastAsia" w:ascii="仿宋_GB2312" w:hAnsi="仿宋_GB2312" w:eastAsia="仿宋_GB2312" w:cs="仿宋_GB2312"/>
          <w:sz w:val="32"/>
          <w:szCs w:val="32"/>
        </w:rPr>
        <w:t>纪律，并开封、宣布最高限价。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②主持人随机抽取2名</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标人代表检查所有报价文件的密封情况。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③工作人员当众开启</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标人报价文件，并宣读</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标人名称、报价及</w:t>
      </w:r>
      <w:r>
        <w:rPr>
          <w:rFonts w:hint="eastAsia" w:ascii="仿宋_GB2312" w:hAnsi="仿宋_GB2312" w:eastAsia="仿宋_GB2312" w:cs="仿宋_GB2312"/>
          <w:sz w:val="32"/>
          <w:szCs w:val="32"/>
          <w:lang w:eastAsia="zh-CN"/>
        </w:rPr>
        <w:t>投</w:t>
      </w:r>
      <w:r>
        <w:rPr>
          <w:rFonts w:ascii="仿宋_GB2312" w:hAnsi="仿宋_GB2312" w:eastAsia="仿宋_GB2312" w:cs="仿宋_GB2312"/>
          <w:sz w:val="32"/>
          <w:szCs w:val="32"/>
        </w:rPr>
        <w:t>标</w:t>
      </w:r>
      <w:r>
        <w:rPr>
          <w:rFonts w:hint="eastAsia" w:ascii="仿宋_GB2312" w:hAnsi="仿宋_GB2312" w:eastAsia="仿宋_GB2312" w:cs="仿宋_GB2312"/>
          <w:sz w:val="32"/>
          <w:szCs w:val="32"/>
        </w:rPr>
        <w:t>份数。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④相关工作人员及</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标人在</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标记录上签名确认。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⑤公司按</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标评审原则确定</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rPr>
        <w:t>标产品的竞得人。</w:t>
      </w:r>
    </w:p>
    <w:p>
      <w:pPr>
        <w:spacing w:line="560" w:lineRule="exact"/>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⑥</w:t>
      </w:r>
      <w:r>
        <w:rPr>
          <w:rFonts w:hint="eastAsia" w:ascii="仿宋_GB2312" w:hAnsi="仿宋_GB2312" w:eastAsia="仿宋_GB2312" w:cs="仿宋_GB2312"/>
          <w:sz w:val="32"/>
          <w:szCs w:val="32"/>
        </w:rPr>
        <w:t>主持人宣布</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rPr>
        <w:t>标产品的竞得人及其报价、</w:t>
      </w:r>
      <w:r>
        <w:rPr>
          <w:rFonts w:hint="default" w:ascii="仿宋_GB2312" w:hAnsi="仿宋_GB2312" w:eastAsia="仿宋_GB2312" w:cs="仿宋_GB2312"/>
          <w:sz w:val="32"/>
          <w:szCs w:val="32"/>
        </w:rPr>
        <w:t>招标</w:t>
      </w:r>
      <w:r>
        <w:rPr>
          <w:rFonts w:hint="eastAsia" w:ascii="仿宋_GB2312" w:hAnsi="仿宋_GB2312" w:eastAsia="仿宋_GB2312" w:cs="仿宋_GB2312"/>
          <w:sz w:val="32"/>
          <w:szCs w:val="32"/>
        </w:rPr>
        <w:t>标的份数。</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7、成交确认、合同签订</w:t>
      </w:r>
      <w:r>
        <w:rPr>
          <w:rFonts w:hint="eastAsia" w:ascii="仿宋_GB2312" w:hAnsi="仿宋_GB2312" w:eastAsia="仿宋_GB2312" w:cs="仿宋_GB2312"/>
          <w:color w:val="FF0000"/>
          <w:sz w:val="32"/>
          <w:szCs w:val="32"/>
        </w:rPr>
        <w:t xml:space="preserve"> </w:t>
      </w: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标结果公布后，竞得人的法定代表人或授权委托代理人须当场签订《成交确认书》。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（2）竞得人须在《成交确认书》签订后1个工作日内签订《混凝土原材料采购合同(砂石)》。</w:t>
      </w:r>
    </w:p>
    <w:p>
      <w:pPr>
        <w:spacing w:line="560" w:lineRule="exact"/>
        <w:ind w:firstLine="64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Times New Roman" w:eastAsia="仿宋_GB2312" w:cs="Times New Roman"/>
          <w:color w:val="000000" w:themeColor="text1"/>
          <w:sz w:val="32"/>
          <w:szCs w:val="32"/>
          <w14:textFill>
            <w14:solidFill>
              <w14:schemeClr w14:val="tx1"/>
            </w14:solidFill>
          </w14:textFill>
        </w:rPr>
        <w:t>依据本办法实施的砂石材料</w:t>
      </w:r>
      <w:r>
        <w:rPr>
          <w:rFonts w:hint="default" w:ascii="仿宋_GB2312" w:hAnsi="Times New Roman" w:eastAsia="仿宋_GB2312" w:cs="Times New Roman"/>
          <w:color w:val="000000" w:themeColor="text1"/>
          <w:sz w:val="32"/>
          <w:szCs w:val="32"/>
          <w14:textFill>
            <w14:solidFill>
              <w14:schemeClr w14:val="tx1"/>
            </w14:solidFill>
          </w14:textFill>
        </w:rPr>
        <w:t>招标</w:t>
      </w:r>
      <w:r>
        <w:rPr>
          <w:rFonts w:hint="eastAsia" w:ascii="仿宋_GB2312" w:hAnsi="Times New Roman" w:eastAsia="仿宋_GB2312" w:cs="Times New Roman"/>
          <w:color w:val="000000" w:themeColor="text1"/>
          <w:sz w:val="32"/>
          <w:szCs w:val="32"/>
          <w14:textFill>
            <w14:solidFill>
              <w14:schemeClr w14:val="tx1"/>
            </w14:solidFill>
          </w14:textFill>
        </w:rPr>
        <w:t>采购由公司统一组织，并由公司或公司下设分公司与竞得人签订合同。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rPr>
        <w:t>标人须知</w:t>
      </w:r>
    </w:p>
    <w:p>
      <w:pPr>
        <w:spacing w:line="560" w:lineRule="exact"/>
        <w:ind w:firstLine="640" w:firstLineChars="200"/>
        <w:rPr>
          <w:rFonts w:ascii="仿宋_GB2312" w:hAnsi="仿宋_GB2312" w:eastAsia="仿宋_GB2312" w:cs="仿宋_GB2312"/>
          <w:sz w:val="32"/>
          <w:szCs w:val="32"/>
        </w:rPr>
      </w:pPr>
      <w:bookmarkStart w:id="0" w:name="_Toc76726855"/>
      <w:bookmarkStart w:id="1" w:name="_Toc76404421"/>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标人资格要求</w:t>
      </w:r>
      <w:bookmarkEnd w:id="0"/>
      <w:bookmarkEnd w:id="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标人须为法人企业。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标人具有良好的社会信誉，未被国家相关机构列入失信企业名单。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标人未被公司列入不合格供应商。</w:t>
      </w:r>
    </w:p>
    <w:p>
      <w:pPr>
        <w:spacing w:line="560" w:lineRule="exact"/>
        <w:ind w:firstLine="640" w:firstLineChars="200"/>
        <w:rPr>
          <w:rFonts w:asciiTheme="minorEastAsia" w:hAnsiTheme="minorEastAsia" w:cstheme="minorEastAsia"/>
          <w:b/>
          <w:bCs/>
          <w:sz w:val="32"/>
          <w:szCs w:val="32"/>
        </w:rPr>
      </w:pPr>
      <w:r>
        <w:rPr>
          <w:rFonts w:hint="eastAsia" w:ascii="仿宋_GB2312" w:hAnsi="仿宋_GB2312" w:eastAsia="仿宋_GB2312" w:cs="仿宋_GB2312"/>
          <w:sz w:val="32"/>
          <w:szCs w:val="32"/>
        </w:rPr>
        <w:t>④不接受联合体</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w:t>
      </w:r>
    </w:p>
    <w:p>
      <w:pPr>
        <w:spacing w:line="560" w:lineRule="exact"/>
        <w:ind w:firstLine="640" w:firstLineChars="200"/>
        <w:rPr>
          <w:rFonts w:ascii="仿宋_GB2312" w:hAnsi="Times New Roman" w:eastAsia="仿宋_GB2312" w:cs="Times New Roman"/>
          <w:sz w:val="32"/>
          <w:szCs w:val="32"/>
        </w:rPr>
      </w:pPr>
      <w:bookmarkStart w:id="2" w:name="_Toc76726856"/>
      <w:bookmarkStart w:id="3" w:name="_Toc76404422"/>
      <w:r>
        <w:rPr>
          <w:rFonts w:hint="eastAsia" w:ascii="仿宋_GB2312" w:hAnsi="仿宋_GB2312" w:eastAsia="仿宋_GB2312" w:cs="仿宋_GB2312"/>
          <w:sz w:val="32"/>
          <w:szCs w:val="32"/>
        </w:rPr>
        <w:t>⑤首次参加公司</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标的</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标人，需提交以下资料</w:t>
      </w:r>
      <w:bookmarkEnd w:id="2"/>
      <w:bookmarkEnd w:id="3"/>
      <w:r>
        <w:rPr>
          <w:rFonts w:hint="eastAsia" w:ascii="仿宋_GB2312" w:hAnsi="仿宋_GB2312" w:eastAsia="仿宋_GB2312" w:cs="仿宋_GB2312"/>
          <w:sz w:val="32"/>
          <w:szCs w:val="32"/>
        </w:rPr>
        <w:t>进行资格预审：营业执照、法定代表</w:t>
      </w:r>
      <w:r>
        <w:rPr>
          <w:rFonts w:hint="eastAsia" w:ascii="仿宋_GB2312" w:hAnsi="Times New Roman" w:eastAsia="仿宋_GB2312" w:cs="Times New Roman"/>
          <w:sz w:val="32"/>
          <w:szCs w:val="32"/>
        </w:rPr>
        <w:t>人身份证与授权委托书、授权委托代理人身份证。以上资料需提交进行核验（法定代表人参与投标无需提供3、4项），并提供加盖公章且由法定代表人（或授权委托代理人）签名的复印件，在</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 xml:space="preserve">标人报名时提交，复印件由公司留存，不予退还。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⑥已参与公司前期</w:t>
      </w:r>
      <w:r>
        <w:rPr>
          <w:rFonts w:hint="eastAsia" w:ascii="仿宋_GB2312" w:hAnsi="Times New Roman" w:eastAsia="仿宋_GB2312" w:cs="Times New Roman"/>
          <w:sz w:val="32"/>
          <w:szCs w:val="32"/>
          <w:lang w:eastAsia="zh-CN"/>
        </w:rPr>
        <w:t>招</w:t>
      </w:r>
      <w:r>
        <w:rPr>
          <w:rFonts w:hint="eastAsia" w:ascii="仿宋_GB2312" w:hAnsi="Times New Roman" w:eastAsia="仿宋_GB2312" w:cs="Times New Roman"/>
          <w:sz w:val="32"/>
          <w:szCs w:val="32"/>
        </w:rPr>
        <w:t>标交易的合格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标人（以下称为有效期内的合格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标人），若继续报名参与后续</w:t>
      </w:r>
      <w:r>
        <w:rPr>
          <w:rFonts w:hint="eastAsia" w:ascii="仿宋_GB2312" w:hAnsi="Times New Roman" w:eastAsia="仿宋_GB2312" w:cs="Times New Roman"/>
          <w:sz w:val="32"/>
          <w:szCs w:val="32"/>
          <w:lang w:eastAsia="zh-CN"/>
        </w:rPr>
        <w:t>招</w:t>
      </w:r>
      <w:r>
        <w:rPr>
          <w:rFonts w:hint="eastAsia" w:ascii="仿宋_GB2312" w:hAnsi="Times New Roman" w:eastAsia="仿宋_GB2312" w:cs="Times New Roman"/>
          <w:sz w:val="32"/>
          <w:szCs w:val="32"/>
        </w:rPr>
        <w:t xml:space="preserve">标交易，不再进行资格预审。 </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⑦合格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标人的资格有效期为12个月。有效期内经查实合格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标人有重大变更情况后不符合资格预审要求，本公司将取消其合格</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标人资格。</w:t>
      </w:r>
    </w:p>
    <w:p>
      <w:pPr>
        <w:numPr>
          <w:ilvl w:val="0"/>
          <w:numId w:val="2"/>
        </w:num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保证金的交纳与处置</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每个</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标人每次参与</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标时须交纳</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标保证金，每种产品</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标保证金为人民币</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万元。未竞得人的</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标保证金，公司在</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标交易结果公布后</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个工作日内，一次性无息退还；竞得人的</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标保证金转为履约保证金，在竞得人本期标的正常履约结束后</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个工作日内无息退还履约保证金。</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竞得人中标后未按规定签订《成交确认书》、或未按规定签订《混凝土原材料采购合同(砂石)》，公司将取消其</w:t>
      </w: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标资格，</w:t>
      </w:r>
      <w:r>
        <w:rPr>
          <w:rFonts w:hint="eastAsia" w:ascii="仿宋_GB2312" w:hAnsi="Times New Roman" w:eastAsia="仿宋_GB2312" w:cs="Times New Roman"/>
          <w:sz w:val="32"/>
          <w:szCs w:val="32"/>
          <w:lang w:eastAsia="zh-CN"/>
        </w:rPr>
        <w:t>投</w:t>
      </w:r>
      <w:r>
        <w:rPr>
          <w:rFonts w:ascii="仿宋_GB2312" w:hAnsi="Times New Roman" w:eastAsia="仿宋_GB2312" w:cs="Times New Roman"/>
          <w:sz w:val="32"/>
          <w:szCs w:val="32"/>
        </w:rPr>
        <w:t>标</w:t>
      </w:r>
      <w:r>
        <w:rPr>
          <w:rFonts w:hint="eastAsia" w:ascii="仿宋_GB2312" w:hAnsi="Times New Roman" w:eastAsia="仿宋_GB2312" w:cs="Times New Roman"/>
          <w:sz w:val="32"/>
          <w:szCs w:val="32"/>
        </w:rPr>
        <w:t>保证金不予退还。</w:t>
      </w:r>
    </w:p>
    <w:p>
      <w:pPr>
        <w:numPr>
          <w:ilvl w:val="0"/>
          <w:numId w:val="2"/>
        </w:num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货源合法性</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投</w:t>
      </w:r>
      <w:r>
        <w:rPr>
          <w:rFonts w:hint="eastAsia" w:ascii="仿宋_GB2312" w:hAnsi="Times New Roman" w:eastAsia="仿宋_GB2312" w:cs="Times New Roman"/>
          <w:sz w:val="32"/>
          <w:szCs w:val="32"/>
        </w:rPr>
        <w:t>标人须保证原材料来源合规、合法，满足质量进场验收标准，服从公司相关管理规定。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、附则</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1.本办法由南京中联混凝土有限公司负责解释，将对供应商广泛宣传。</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2.公司有权对本办法进行修改，并将修改情况及时公告。</w:t>
      </w:r>
    </w:p>
    <w:p>
      <w:pPr>
        <w:spacing w:line="560" w:lineRule="exact"/>
        <w:rPr>
          <w:rFonts w:ascii="仿宋_GB2312" w:hAnsi="Times New Roman" w:eastAsia="仿宋_GB2312" w:cs="Times New Roman"/>
          <w:sz w:val="32"/>
          <w:szCs w:val="32"/>
        </w:rPr>
      </w:pP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
      <w:pPr>
        <w:pStyle w:val="2"/>
      </w:pPr>
    </w:p>
    <w:p>
      <w:pPr>
        <w:spacing w:line="560" w:lineRule="exact"/>
        <w:ind w:firstLine="4160" w:firstLineChars="13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南京中联混凝土有限公司</w:t>
      </w:r>
    </w:p>
    <w:p>
      <w:pPr>
        <w:spacing w:line="56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spacing w:line="560" w:lineRule="exact"/>
        <w:ind w:firstLine="640" w:firstLineChars="200"/>
        <w:jc w:val="right"/>
        <w:rPr>
          <w:rFonts w:hint="eastAsia" w:ascii="仿宋_GB2312" w:hAnsi="Times New Roman" w:eastAsia="仿宋_GB2312" w:cs="Times New Roman"/>
          <w:color w:val="auto"/>
          <w:sz w:val="32"/>
          <w:szCs w:val="32"/>
        </w:rPr>
      </w:pPr>
    </w:p>
    <w:p>
      <w:pPr>
        <w:spacing w:line="560" w:lineRule="exact"/>
        <w:ind w:firstLine="640" w:firstLineChars="200"/>
        <w:jc w:val="right"/>
        <w:rPr>
          <w:rFonts w:hint="eastAsia" w:ascii="仿宋_GB2312" w:hAnsi="Times New Roman" w:eastAsia="仿宋_GB2312" w:cs="Times New Roman"/>
          <w:color w:val="auto"/>
          <w:sz w:val="32"/>
          <w:szCs w:val="32"/>
        </w:rPr>
      </w:pPr>
    </w:p>
    <w:p>
      <w:pPr>
        <w:spacing w:line="560" w:lineRule="exact"/>
        <w:jc w:val="left"/>
        <w:rPr>
          <w:rFonts w:hint="eastAsia" w:asciiTheme="majorEastAsia" w:hAnsiTheme="majorEastAsia" w:eastAsiaTheme="majorEastAsia"/>
          <w:b/>
          <w:bCs/>
          <w:color w:val="auto"/>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Theme="majorEastAsia" w:hAnsiTheme="majorEastAsia" w:eastAsiaTheme="majorEastAsia"/>
          <w:b/>
          <w:bCs/>
          <w:sz w:val="32"/>
          <w:szCs w:val="32"/>
        </w:rPr>
      </w:pPr>
    </w:p>
    <w:p>
      <w:pPr>
        <w:spacing w:line="560" w:lineRule="exact"/>
        <w:jc w:val="left"/>
        <w:rPr>
          <w:rFonts w:hint="eastAsia" w:ascii="仿宋_GB2312" w:hAnsi="Times New Roman" w:eastAsia="仿宋_GB2312" w:cs="Times New Roman"/>
          <w:sz w:val="32"/>
          <w:szCs w:val="32"/>
        </w:rPr>
      </w:pPr>
      <w:r>
        <w:rPr>
          <w:rFonts w:hint="eastAsia" w:asciiTheme="majorEastAsia" w:hAnsiTheme="majorEastAsia" w:eastAsiaTheme="majorEastAsia"/>
          <w:b/>
          <w:bCs/>
          <w:sz w:val="32"/>
          <w:szCs w:val="32"/>
        </w:rPr>
        <w:t>附件</w:t>
      </w:r>
      <w:r>
        <w:rPr>
          <w:rFonts w:hint="eastAsia" w:asciiTheme="majorEastAsia" w:hAnsiTheme="majorEastAsia" w:eastAsiaTheme="majorEastAsia"/>
          <w:b/>
          <w:bCs/>
          <w:sz w:val="32"/>
          <w:szCs w:val="32"/>
          <w:lang w:val="en-US" w:eastAsia="zh-CN"/>
        </w:rPr>
        <w:t>2</w:t>
      </w:r>
      <w:r>
        <w:rPr>
          <w:rFonts w:hint="eastAsia" w:asciiTheme="majorEastAsia" w:hAnsiTheme="majorEastAsia" w:eastAsiaTheme="majorEastAsia"/>
          <w:b/>
          <w:bCs/>
          <w:sz w:val="32"/>
          <w:szCs w:val="32"/>
        </w:rPr>
        <w:t>：</w:t>
      </w:r>
    </w:p>
    <w:p>
      <w:pPr>
        <w:spacing w:line="560" w:lineRule="exact"/>
        <w:ind w:firstLine="640" w:firstLineChars="200"/>
        <w:jc w:val="right"/>
        <w:rPr>
          <w:rFonts w:hint="eastAsia" w:ascii="仿宋_GB2312" w:hAnsi="Times New Roman" w:eastAsia="仿宋_GB2312" w:cs="Times New Roman"/>
          <w:sz w:val="32"/>
          <w:szCs w:val="32"/>
        </w:rPr>
      </w:pPr>
    </w:p>
    <w:p>
      <w:pPr>
        <w:spacing w:line="560" w:lineRule="exact"/>
        <w:ind w:left="0" w:leftChars="0" w:firstLine="0" w:firstLineChars="0"/>
        <w:jc w:val="center"/>
        <w:rPr>
          <w:rFonts w:ascii="宋体" w:hAnsi="宋体" w:eastAsia="宋体" w:cs="宋体"/>
          <w:sz w:val="36"/>
          <w:szCs w:val="36"/>
        </w:rPr>
      </w:pPr>
      <w:r>
        <w:rPr>
          <w:rFonts w:hint="eastAsia" w:ascii="宋体" w:hAnsi="宋体" w:eastAsia="宋体" w:cs="宋体"/>
          <w:b/>
          <w:kern w:val="0"/>
          <w:sz w:val="36"/>
          <w:szCs w:val="36"/>
        </w:rPr>
        <w:t>授权委托书</w:t>
      </w:r>
    </w:p>
    <w:p>
      <w:pPr>
        <w:rPr>
          <w:rFonts w:ascii="仿宋_GB2312" w:hAnsi="仿宋_GB2312" w:eastAsia="仿宋_GB2312" w:cs="仿宋_GB2312"/>
          <w:kern w:val="0"/>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）系</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公司的法定代表人，委托</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）为本公司和本人的授权委托代理人，到贵司参与</w:t>
      </w:r>
      <w:r>
        <w:rPr>
          <w:rFonts w:hint="eastAsia" w:ascii="仿宋_GB2312" w:hAnsi="仿宋_GB2312" w:eastAsia="仿宋_GB2312" w:cs="仿宋_GB2312"/>
          <w:color w:val="auto"/>
          <w:kern w:val="0"/>
          <w:sz w:val="32"/>
          <w:szCs w:val="32"/>
        </w:rPr>
        <w:t>ZLSS-202</w:t>
      </w:r>
      <w:r>
        <w:rPr>
          <w:rFonts w:hint="default"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u w:val="single"/>
        </w:rPr>
        <w:t xml:space="preserve"> 00</w:t>
      </w:r>
      <w:r>
        <w:rPr>
          <w:rFonts w:hint="eastAsia" w:ascii="仿宋_GB2312" w:hAnsi="仿宋_GB2312" w:eastAsia="仿宋_GB2312" w:cs="仿宋_GB2312"/>
          <w:color w:val="auto"/>
          <w:kern w:val="0"/>
          <w:sz w:val="32"/>
          <w:szCs w:val="32"/>
          <w:u w:val="single"/>
          <w:lang w:val="en-US" w:eastAsia="zh-CN"/>
        </w:rPr>
        <w:t>6</w:t>
      </w:r>
      <w:r>
        <w:rPr>
          <w:rFonts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kern w:val="0"/>
          <w:sz w:val="32"/>
          <w:szCs w:val="32"/>
        </w:rPr>
        <w:t>期砂石产品</w:t>
      </w:r>
      <w:r>
        <w:rPr>
          <w:rFonts w:hint="default" w:ascii="仿宋_GB2312" w:hAnsi="仿宋_GB2312" w:eastAsia="仿宋_GB2312" w:cs="仿宋_GB2312"/>
          <w:kern w:val="0"/>
          <w:sz w:val="32"/>
          <w:szCs w:val="32"/>
        </w:rPr>
        <w:t>招标</w:t>
      </w:r>
      <w:r>
        <w:rPr>
          <w:rFonts w:hint="eastAsia" w:ascii="仿宋_GB2312" w:hAnsi="仿宋_GB2312" w:eastAsia="仿宋_GB2312" w:cs="仿宋_GB2312"/>
          <w:kern w:val="0"/>
          <w:sz w:val="32"/>
          <w:szCs w:val="32"/>
        </w:rPr>
        <w:t>交易的全部业务，代理权限为特别授权，包括但不限于</w:t>
      </w:r>
      <w:r>
        <w:rPr>
          <w:rFonts w:hint="eastAsia" w:ascii="仿宋_GB2312" w:hAnsi="仿宋_GB2312" w:eastAsia="仿宋_GB2312" w:cs="仿宋_GB2312"/>
          <w:kern w:val="0"/>
          <w:sz w:val="32"/>
          <w:szCs w:val="32"/>
          <w:u w:val="single"/>
        </w:rPr>
        <w:t>资格预审、存取</w:t>
      </w:r>
      <w:r>
        <w:rPr>
          <w:rFonts w:hint="default" w:ascii="仿宋_GB2312" w:hAnsi="仿宋_GB2312" w:eastAsia="仿宋_GB2312" w:cs="仿宋_GB2312"/>
          <w:kern w:val="0"/>
          <w:sz w:val="32"/>
          <w:szCs w:val="32"/>
          <w:u w:val="single"/>
        </w:rPr>
        <w:t>招标</w:t>
      </w:r>
      <w:r>
        <w:rPr>
          <w:rFonts w:hint="eastAsia" w:ascii="仿宋_GB2312" w:hAnsi="仿宋_GB2312" w:eastAsia="仿宋_GB2312" w:cs="仿宋_GB2312"/>
          <w:kern w:val="0"/>
          <w:sz w:val="32"/>
          <w:szCs w:val="32"/>
          <w:u w:val="single"/>
        </w:rPr>
        <w:t>保证金、</w:t>
      </w:r>
      <w:r>
        <w:rPr>
          <w:rFonts w:hint="default" w:ascii="仿宋_GB2312" w:hAnsi="仿宋_GB2312" w:eastAsia="仿宋_GB2312" w:cs="仿宋_GB2312"/>
          <w:kern w:val="0"/>
          <w:sz w:val="32"/>
          <w:szCs w:val="32"/>
          <w:u w:val="single"/>
        </w:rPr>
        <w:t>招标</w:t>
      </w:r>
      <w:r>
        <w:rPr>
          <w:rFonts w:hint="eastAsia" w:ascii="仿宋_GB2312" w:hAnsi="仿宋_GB2312" w:eastAsia="仿宋_GB2312" w:cs="仿宋_GB2312"/>
          <w:kern w:val="0"/>
          <w:sz w:val="32"/>
          <w:szCs w:val="32"/>
          <w:u w:val="single"/>
        </w:rPr>
        <w:t>报价等活动，并签署资格预审、报价函及</w:t>
      </w:r>
      <w:r>
        <w:rPr>
          <w:rFonts w:hint="default" w:ascii="仿宋_GB2312" w:hAnsi="仿宋_GB2312" w:eastAsia="仿宋_GB2312" w:cs="仿宋_GB2312"/>
          <w:kern w:val="0"/>
          <w:sz w:val="32"/>
          <w:szCs w:val="32"/>
          <w:u w:val="single"/>
        </w:rPr>
        <w:t>招标</w:t>
      </w:r>
      <w:r>
        <w:rPr>
          <w:rFonts w:hint="eastAsia" w:ascii="仿宋_GB2312" w:hAnsi="仿宋_GB2312" w:eastAsia="仿宋_GB2312" w:cs="仿宋_GB2312"/>
          <w:kern w:val="0"/>
          <w:sz w:val="32"/>
          <w:szCs w:val="32"/>
          <w:u w:val="single"/>
        </w:rPr>
        <w:t>报价单等文件、洽谈、签订成交确认书、货款结算支付、签订采购合同</w:t>
      </w:r>
      <w:r>
        <w:rPr>
          <w:rFonts w:hint="eastAsia" w:ascii="仿宋_GB2312" w:hAnsi="仿宋_GB2312" w:eastAsia="仿宋_GB2312" w:cs="仿宋_GB2312"/>
          <w:kern w:val="0"/>
          <w:sz w:val="32"/>
          <w:szCs w:val="32"/>
        </w:rPr>
        <w:t>等与交易有关的全部事务，其签名真迹如本授权委托书所示，本人均认可，自愿受其所签署文件约束并承担全部法律责任。</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委托期限：自签发之日起壹年。</w:t>
      </w: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授权单位（公章）：</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法定代表人（签名）：</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授权委托代理人(签名)：</w:t>
      </w:r>
    </w:p>
    <w:p>
      <w:pPr>
        <w:widowControl/>
        <w:jc w:val="left"/>
        <w:rPr>
          <w:rFonts w:asciiTheme="majorEastAsia" w:hAnsiTheme="majorEastAsia" w:eastAsiaTheme="majorEastAsia"/>
          <w:b/>
          <w:bCs/>
          <w:sz w:val="32"/>
          <w:szCs w:val="32"/>
        </w:rPr>
      </w:pPr>
      <w:r>
        <w:rPr>
          <w:rFonts w:hint="eastAsia" w:ascii="仿宋_GB2312" w:hAnsi="仿宋_GB2312" w:eastAsia="仿宋_GB2312" w:cs="仿宋_GB2312"/>
          <w:kern w:val="0"/>
          <w:sz w:val="32"/>
          <w:szCs w:val="32"/>
        </w:rPr>
        <w:t>签发日期：202</w:t>
      </w:r>
      <w:r>
        <w:rPr>
          <w:rFonts w:hint="default"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widowControl/>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附件</w:t>
      </w:r>
      <w:r>
        <w:rPr>
          <w:rFonts w:hint="eastAsia" w:asciiTheme="majorEastAsia" w:hAnsiTheme="majorEastAsia" w:eastAsiaTheme="majorEastAsia"/>
          <w:b/>
          <w:bCs/>
          <w:sz w:val="32"/>
          <w:szCs w:val="32"/>
          <w:lang w:val="en-US" w:eastAsia="zh-CN"/>
        </w:rPr>
        <w:t>3</w:t>
      </w:r>
      <w:r>
        <w:rPr>
          <w:rFonts w:hint="eastAsia" w:asciiTheme="majorEastAsia" w:hAnsiTheme="majorEastAsia" w:eastAsiaTheme="majorEastAsia"/>
          <w:b/>
          <w:bCs/>
          <w:sz w:val="32"/>
          <w:szCs w:val="32"/>
        </w:rPr>
        <w:t>：</w:t>
      </w:r>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交易承诺书</w:t>
      </w:r>
    </w:p>
    <w:p>
      <w:pPr>
        <w:widowControl/>
        <w:spacing w:line="560" w:lineRule="exact"/>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南京中联混凝土有限公司：</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本公司已对贵公司本期</w:t>
      </w:r>
      <w:r>
        <w:rPr>
          <w:rFonts w:hint="default" w:ascii="仿宋_GB2312" w:hAnsi="仿宋_GB2312" w:eastAsia="仿宋_GB2312" w:cs="仿宋_GB2312"/>
          <w:kern w:val="0"/>
          <w:sz w:val="32"/>
          <w:szCs w:val="32"/>
        </w:rPr>
        <w:t>招</w:t>
      </w:r>
      <w:r>
        <w:rPr>
          <w:rFonts w:hint="eastAsia" w:ascii="仿宋_GB2312" w:hAnsi="仿宋_GB2312" w:eastAsia="仿宋_GB2312" w:cs="仿宋_GB2312"/>
          <w:kern w:val="0"/>
          <w:sz w:val="32"/>
          <w:szCs w:val="32"/>
        </w:rPr>
        <w:t>标产品、交付场地等情况进行了全面细致地了解，现承诺如下：</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我公司已收到贵公司《砂石材料</w:t>
      </w:r>
      <w:r>
        <w:rPr>
          <w:rFonts w:hint="default" w:ascii="仿宋_GB2312" w:hAnsi="仿宋_GB2312" w:eastAsia="仿宋_GB2312" w:cs="仿宋_GB2312"/>
          <w:sz w:val="32"/>
          <w:szCs w:val="32"/>
        </w:rPr>
        <w:t>招标</w:t>
      </w:r>
      <w:r>
        <w:rPr>
          <w:rFonts w:hint="eastAsia" w:ascii="仿宋_GB2312" w:hAnsi="仿宋_GB2312" w:eastAsia="仿宋_GB2312" w:cs="仿宋_GB2312"/>
          <w:sz w:val="32"/>
          <w:szCs w:val="32"/>
        </w:rPr>
        <w:t>采购实施办法》，已了解知悉、并完全同意该办法的全部内容，自愿遵照执行。</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2.我公司</w:t>
      </w:r>
      <w:r>
        <w:rPr>
          <w:rFonts w:hint="eastAsia" w:ascii="仿宋_GB2312" w:hAnsi="仿宋_GB2312" w:eastAsia="仿宋_GB2312" w:cs="仿宋_GB2312"/>
          <w:kern w:val="0"/>
          <w:sz w:val="32"/>
          <w:szCs w:val="32"/>
        </w:rPr>
        <w:t>提交的</w:t>
      </w:r>
      <w:r>
        <w:rPr>
          <w:rFonts w:hint="default" w:ascii="仿宋_GB2312" w:hAnsi="仿宋_GB2312" w:eastAsia="仿宋_GB2312" w:cs="仿宋_GB2312"/>
          <w:kern w:val="0"/>
          <w:sz w:val="32"/>
          <w:szCs w:val="32"/>
        </w:rPr>
        <w:t>投</w:t>
      </w:r>
      <w:r>
        <w:rPr>
          <w:rFonts w:hint="eastAsia" w:ascii="仿宋_GB2312" w:hAnsi="仿宋_GB2312" w:eastAsia="仿宋_GB2312" w:cs="仿宋_GB2312"/>
          <w:kern w:val="0"/>
          <w:sz w:val="32"/>
          <w:szCs w:val="32"/>
        </w:rPr>
        <w:t>标资格文件及后续报价文件真实、合法、有效。</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我公司自愿</w:t>
      </w:r>
      <w:r>
        <w:rPr>
          <w:rFonts w:hint="eastAsia" w:ascii="仿宋_GB2312" w:hAnsi="仿宋_GB2312" w:eastAsia="仿宋_GB2312" w:cs="仿宋_GB2312"/>
          <w:kern w:val="0"/>
          <w:sz w:val="32"/>
          <w:szCs w:val="32"/>
        </w:rPr>
        <w:t>及时、足额交纳</w:t>
      </w:r>
      <w:r>
        <w:rPr>
          <w:rFonts w:hint="default" w:ascii="仿宋_GB2312" w:hAnsi="仿宋_GB2312" w:eastAsia="仿宋_GB2312" w:cs="仿宋_GB2312"/>
          <w:kern w:val="0"/>
          <w:sz w:val="32"/>
          <w:szCs w:val="32"/>
        </w:rPr>
        <w:t>投</w:t>
      </w:r>
      <w:r>
        <w:rPr>
          <w:rFonts w:hint="eastAsia" w:ascii="仿宋_GB2312" w:hAnsi="仿宋_GB2312" w:eastAsia="仿宋_GB2312" w:cs="仿宋_GB2312"/>
          <w:kern w:val="0"/>
          <w:sz w:val="32"/>
          <w:szCs w:val="32"/>
        </w:rPr>
        <w:t>标保证金并接受贵公司对</w:t>
      </w:r>
      <w:r>
        <w:rPr>
          <w:rFonts w:hint="default" w:ascii="仿宋_GB2312" w:hAnsi="仿宋_GB2312" w:eastAsia="仿宋_GB2312" w:cs="仿宋_GB2312"/>
          <w:kern w:val="0"/>
          <w:sz w:val="32"/>
          <w:szCs w:val="32"/>
        </w:rPr>
        <w:t>投</w:t>
      </w:r>
      <w:r>
        <w:rPr>
          <w:rFonts w:hint="eastAsia" w:ascii="仿宋_GB2312" w:hAnsi="仿宋_GB2312" w:eastAsia="仿宋_GB2312" w:cs="仿宋_GB2312"/>
          <w:kern w:val="0"/>
          <w:sz w:val="32"/>
          <w:szCs w:val="32"/>
        </w:rPr>
        <w:t>标保证金处置的条款，严格遵守本次</w:t>
      </w:r>
      <w:r>
        <w:rPr>
          <w:rFonts w:hint="default" w:ascii="仿宋_GB2312" w:hAnsi="仿宋_GB2312" w:eastAsia="仿宋_GB2312" w:cs="仿宋_GB2312"/>
          <w:kern w:val="0"/>
          <w:sz w:val="32"/>
          <w:szCs w:val="32"/>
        </w:rPr>
        <w:t>投</w:t>
      </w:r>
      <w:r>
        <w:rPr>
          <w:rFonts w:hint="eastAsia" w:ascii="仿宋_GB2312" w:hAnsi="仿宋_GB2312" w:eastAsia="仿宋_GB2312" w:cs="仿宋_GB2312"/>
          <w:kern w:val="0"/>
          <w:sz w:val="32"/>
          <w:szCs w:val="32"/>
        </w:rPr>
        <w:t>标交易规则。</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知悉并完全认可贵公司采购产品的报价要求、质量标准，且保证所供应的产品合法、合规。</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5.产品中标后，</w:t>
      </w:r>
      <w:r>
        <w:rPr>
          <w:rFonts w:hint="eastAsia" w:ascii="仿宋_GB2312" w:hAnsi="仿宋_GB2312" w:eastAsia="仿宋_GB2312" w:cs="仿宋_GB2312"/>
          <w:sz w:val="32"/>
          <w:szCs w:val="32"/>
        </w:rPr>
        <w:t>我公司</w:t>
      </w:r>
      <w:r>
        <w:rPr>
          <w:rFonts w:hint="eastAsia" w:ascii="仿宋_GB2312" w:hAnsi="仿宋_GB2312" w:eastAsia="仿宋_GB2312" w:cs="仿宋_GB2312"/>
          <w:kern w:val="0"/>
          <w:sz w:val="32"/>
          <w:szCs w:val="32"/>
        </w:rPr>
        <w:t>愿意按规定及时签订《成交确认书》并签订采购合同。</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6.我公司接受贵公司称重计量方式及结算量计算方法，合同执行期间不再就供货计量问题提出任何异议。</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7.合同签订后，我公司按合同约定的时间完成交货。</w:t>
      </w:r>
    </w:p>
    <w:p>
      <w:pPr>
        <w:spacing w:line="560" w:lineRule="exact"/>
        <w:rPr>
          <w:rFonts w:ascii="仿宋_GB2312" w:hAnsi="仿宋_GB2312" w:eastAsia="仿宋_GB2312" w:cs="仿宋_GB2312"/>
          <w:kern w:val="0"/>
          <w:sz w:val="32"/>
          <w:szCs w:val="32"/>
        </w:rPr>
      </w:pPr>
    </w:p>
    <w:p>
      <w:pPr>
        <w:widowControl/>
        <w:jc w:val="left"/>
        <w:rPr>
          <w:rFonts w:ascii="仿宋_GB2312" w:hAnsi="仿宋_GB2312" w:eastAsia="仿宋_GB2312" w:cs="仿宋_GB2312"/>
          <w:kern w:val="0"/>
          <w:sz w:val="32"/>
          <w:szCs w:val="32"/>
        </w:rPr>
      </w:pPr>
      <w:r>
        <w:rPr>
          <w:rFonts w:hint="default" w:ascii="仿宋_GB2312" w:hAnsi="仿宋_GB2312" w:eastAsia="仿宋_GB2312" w:cs="仿宋_GB2312"/>
          <w:kern w:val="0"/>
          <w:sz w:val="32"/>
          <w:szCs w:val="32"/>
        </w:rPr>
        <w:t>招标</w:t>
      </w:r>
      <w:r>
        <w:rPr>
          <w:rFonts w:hint="eastAsia" w:ascii="仿宋_GB2312" w:hAnsi="仿宋_GB2312" w:eastAsia="仿宋_GB2312" w:cs="仿宋_GB2312"/>
          <w:kern w:val="0"/>
          <w:sz w:val="32"/>
          <w:szCs w:val="32"/>
        </w:rPr>
        <w:t>人（盖章）：</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法定代表人或授权委托代理人（签名）：</w:t>
      </w:r>
    </w:p>
    <w:p>
      <w:pPr>
        <w:widowControl/>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 期：202</w:t>
      </w:r>
      <w:r>
        <w:rPr>
          <w:rFonts w:hint="default"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pStyle w:val="10"/>
        <w:jc w:val="both"/>
        <w:rPr>
          <w:rFonts w:asciiTheme="majorEastAsia" w:hAnsiTheme="majorEastAsia" w:eastAsiaTheme="majorEastAsia"/>
        </w:rPr>
      </w:pPr>
      <w:r>
        <w:rPr>
          <w:rFonts w:hint="eastAsia" w:asciiTheme="majorEastAsia" w:hAnsiTheme="majorEastAsia" w:eastAsiaTheme="majorEastAsia" w:cstheme="minorBidi"/>
        </w:rPr>
        <w:t>附件</w:t>
      </w:r>
      <w:r>
        <w:rPr>
          <w:rFonts w:hint="eastAsia" w:asciiTheme="majorEastAsia" w:hAnsiTheme="majorEastAsia" w:eastAsiaTheme="majorEastAsia" w:cstheme="minorBidi"/>
          <w:lang w:val="en-US" w:eastAsia="zh-CN"/>
        </w:rPr>
        <w:t>4</w:t>
      </w:r>
      <w:r>
        <w:rPr>
          <w:rFonts w:hint="eastAsia" w:asciiTheme="majorEastAsia" w:hAnsiTheme="majorEastAsia" w:eastAsiaTheme="majorEastAsia" w:cstheme="minorBidi"/>
        </w:rPr>
        <w:t>：</w:t>
      </w:r>
      <w:r>
        <w:rPr>
          <w:rFonts w:hint="eastAsia" w:asciiTheme="majorEastAsia" w:hAnsiTheme="majorEastAsia" w:eastAsiaTheme="majorEastAsia"/>
        </w:rPr>
        <w:t xml:space="preserve"> </w:t>
      </w:r>
      <w:bookmarkStart w:id="4" w:name="_Toc9989393"/>
    </w:p>
    <w:p>
      <w:pPr>
        <w:widowControl/>
        <w:jc w:val="center"/>
        <w:rPr>
          <w:rFonts w:ascii="宋体" w:hAnsi="宋体" w:eastAsia="宋体" w:cs="宋体"/>
          <w:b/>
          <w:kern w:val="0"/>
          <w:sz w:val="36"/>
          <w:szCs w:val="36"/>
        </w:rPr>
      </w:pPr>
      <w:r>
        <w:rPr>
          <w:rFonts w:hint="eastAsia" w:ascii="宋体" w:hAnsi="宋体" w:eastAsia="宋体" w:cs="宋体"/>
          <w:b/>
          <w:kern w:val="0"/>
          <w:sz w:val="36"/>
          <w:szCs w:val="36"/>
        </w:rPr>
        <w:t>成交确认书</w:t>
      </w:r>
      <w:bookmarkEnd w:id="4"/>
    </w:p>
    <w:p>
      <w:pPr>
        <w:pStyle w:val="4"/>
        <w:spacing w:line="600" w:lineRule="exact"/>
        <w:jc w:val="center"/>
        <w:rPr>
          <w:rFonts w:ascii="仿宋_GB2312" w:hAnsi="仿宋_GB2312" w:eastAsia="仿宋_GB2312" w:cs="仿宋_GB2312"/>
          <w:sz w:val="32"/>
          <w:szCs w:val="32"/>
        </w:rPr>
      </w:pPr>
    </w:p>
    <w:p>
      <w:pPr>
        <w:ind w:firstLine="640" w:firstLineChars="200"/>
        <w:rPr>
          <w:rFonts w:ascii="仿宋" w:hAnsi="仿宋" w:eastAsia="仿宋" w:cs="宋体"/>
          <w:sz w:val="32"/>
          <w:szCs w:val="32"/>
        </w:rPr>
      </w:pPr>
      <w:bookmarkStart w:id="5" w:name="_Hlk19087937"/>
      <w:r>
        <w:rPr>
          <w:rFonts w:hint="eastAsia" w:ascii="仿宋" w:hAnsi="仿宋" w:eastAsia="仿宋" w:cs="仿宋"/>
          <w:sz w:val="32"/>
          <w:szCs w:val="32"/>
          <w:lang w:bidi="ar"/>
        </w:rPr>
        <w:t>南京中联混凝土有限公司</w:t>
      </w:r>
      <w:bookmarkEnd w:id="5"/>
      <w:r>
        <w:rPr>
          <w:rFonts w:hint="eastAsia" w:ascii="仿宋" w:hAnsi="仿宋" w:eastAsia="仿宋" w:cs="宋体"/>
          <w:sz w:val="32"/>
          <w:szCs w:val="32"/>
        </w:rPr>
        <w:t>（以下简称“买方”）砂石产品竞</w:t>
      </w:r>
      <w:r>
        <w:rPr>
          <w:rFonts w:hint="eastAsia" w:ascii="仿宋" w:hAnsi="仿宋" w:eastAsia="仿宋" w:cs="宋体"/>
          <w:sz w:val="32"/>
          <w:szCs w:val="32"/>
          <w:lang w:eastAsia="zh-CN"/>
        </w:rPr>
        <w:t>价</w:t>
      </w:r>
      <w:r>
        <w:rPr>
          <w:rFonts w:hint="eastAsia" w:ascii="仿宋" w:hAnsi="仿宋" w:eastAsia="仿宋" w:cs="宋体"/>
          <w:sz w:val="32"/>
          <w:szCs w:val="32"/>
        </w:rPr>
        <w:t>交易（</w:t>
      </w:r>
      <w:r>
        <w:rPr>
          <w:rFonts w:hint="eastAsia" w:ascii="仿宋" w:hAnsi="仿宋" w:eastAsia="仿宋" w:cs="宋体"/>
          <w:color w:val="FF0000"/>
          <w:sz w:val="32"/>
          <w:szCs w:val="32"/>
        </w:rPr>
        <w:t>ZLSS</w:t>
      </w:r>
      <w:r>
        <w:rPr>
          <w:rFonts w:ascii="仿宋" w:hAnsi="仿宋" w:eastAsia="仿宋" w:cs="宋体"/>
          <w:color w:val="FF0000"/>
          <w:sz w:val="32"/>
          <w:szCs w:val="32"/>
        </w:rPr>
        <w:t>-2023-</w:t>
      </w:r>
      <w:r>
        <w:rPr>
          <w:rFonts w:hint="eastAsia" w:ascii="仿宋" w:hAnsi="仿宋" w:eastAsia="仿宋" w:cs="宋体"/>
          <w:color w:val="FF0000"/>
          <w:sz w:val="32"/>
          <w:szCs w:val="32"/>
          <w:u w:val="single"/>
          <w:lang w:val="en-US" w:eastAsia="zh-CN"/>
        </w:rPr>
        <w:t>006</w:t>
      </w:r>
      <w:r>
        <w:rPr>
          <w:rFonts w:hint="eastAsia" w:ascii="仿宋" w:hAnsi="仿宋" w:eastAsia="仿宋" w:cs="宋体"/>
          <w:sz w:val="32"/>
          <w:szCs w:val="32"/>
        </w:rPr>
        <w:t>期）现已结束，买方与竞得人对成交结果确认如下：</w:t>
      </w:r>
    </w:p>
    <w:p>
      <w:pPr>
        <w:pStyle w:val="9"/>
        <w:widowControl/>
        <w:numPr>
          <w:ilvl w:val="0"/>
          <w:numId w:val="3"/>
        </w:numPr>
        <w:ind w:firstLine="640" w:firstLineChars="200"/>
        <w:rPr>
          <w:rFonts w:ascii="仿宋" w:hAnsi="仿宋" w:eastAsia="仿宋" w:cs="宋体"/>
          <w:sz w:val="32"/>
          <w:szCs w:val="32"/>
        </w:rPr>
      </w:pPr>
      <w:r>
        <w:rPr>
          <w:rFonts w:hint="eastAsia" w:ascii="仿宋" w:hAnsi="仿宋" w:eastAsia="仿宋" w:cs="仿宋"/>
          <w:sz w:val="32"/>
          <w:szCs w:val="32"/>
        </w:rPr>
        <w:t>竞得人此前已认真阅读并</w:t>
      </w:r>
      <w:r>
        <w:rPr>
          <w:rFonts w:ascii="仿宋" w:hAnsi="仿宋" w:eastAsia="仿宋" w:cs="仿宋"/>
          <w:sz w:val="32"/>
          <w:szCs w:val="32"/>
        </w:rPr>
        <w:t>知悉</w:t>
      </w:r>
      <w:r>
        <w:rPr>
          <w:rFonts w:hint="eastAsia" w:ascii="仿宋" w:hAnsi="仿宋" w:eastAsia="仿宋" w:cs="仿宋"/>
          <w:sz w:val="32"/>
          <w:szCs w:val="32"/>
        </w:rPr>
        <w:t>买方《砂石材料</w:t>
      </w:r>
      <w:r>
        <w:rPr>
          <w:rFonts w:hint="default" w:ascii="仿宋" w:hAnsi="仿宋" w:eastAsia="仿宋" w:cs="仿宋"/>
          <w:sz w:val="32"/>
          <w:szCs w:val="32"/>
        </w:rPr>
        <w:t>招标</w:t>
      </w:r>
      <w:r>
        <w:rPr>
          <w:rFonts w:hint="eastAsia" w:ascii="仿宋" w:hAnsi="仿宋" w:eastAsia="仿宋" w:cs="仿宋"/>
          <w:sz w:val="32"/>
          <w:szCs w:val="32"/>
        </w:rPr>
        <w:t>采购实施办法》和编号：</w:t>
      </w:r>
      <w:r>
        <w:rPr>
          <w:rFonts w:hint="eastAsia" w:ascii="仿宋" w:hAnsi="仿宋" w:eastAsia="仿宋" w:cs="仿宋"/>
          <w:color w:val="FF0000"/>
          <w:sz w:val="32"/>
          <w:szCs w:val="32"/>
        </w:rPr>
        <w:t>ZLSS-</w:t>
      </w:r>
      <w:r>
        <w:rPr>
          <w:rFonts w:hint="default" w:ascii="仿宋" w:hAnsi="仿宋" w:eastAsia="仿宋" w:cs="仿宋"/>
          <w:color w:val="FF0000"/>
          <w:sz w:val="32"/>
          <w:szCs w:val="32"/>
        </w:rPr>
        <w:t>2023</w:t>
      </w:r>
      <w:r>
        <w:rPr>
          <w:rFonts w:hint="eastAsia" w:ascii="仿宋" w:hAnsi="仿宋" w:eastAsia="仿宋" w:cs="仿宋"/>
          <w:color w:val="FF0000"/>
          <w:sz w:val="32"/>
          <w:szCs w:val="32"/>
        </w:rPr>
        <w:t>-</w:t>
      </w:r>
      <w:r>
        <w:rPr>
          <w:rFonts w:hint="eastAsia" w:ascii="仿宋" w:hAnsi="仿宋" w:eastAsia="仿宋" w:cs="仿宋"/>
          <w:color w:val="FF0000"/>
          <w:sz w:val="32"/>
          <w:szCs w:val="32"/>
          <w:u w:val="single"/>
        </w:rPr>
        <w:t xml:space="preserve"> </w:t>
      </w:r>
      <w:r>
        <w:rPr>
          <w:rFonts w:hint="eastAsia" w:ascii="仿宋" w:hAnsi="仿宋" w:eastAsia="仿宋" w:cs="仿宋"/>
          <w:color w:val="FF0000"/>
          <w:sz w:val="32"/>
          <w:szCs w:val="32"/>
          <w:u w:val="single"/>
          <w:lang w:val="en-US" w:eastAsia="zh-CN"/>
        </w:rPr>
        <w:t>006</w:t>
      </w:r>
      <w:r>
        <w:rPr>
          <w:rFonts w:hint="eastAsia" w:ascii="仿宋" w:hAnsi="仿宋" w:eastAsia="仿宋" w:cs="仿宋"/>
          <w:color w:val="FF0000"/>
          <w:sz w:val="32"/>
          <w:szCs w:val="32"/>
          <w:u w:val="single"/>
        </w:rPr>
        <w:t xml:space="preserve"> </w:t>
      </w:r>
      <w:r>
        <w:rPr>
          <w:rFonts w:hint="eastAsia" w:ascii="仿宋" w:hAnsi="仿宋" w:eastAsia="仿宋" w:cs="仿宋"/>
          <w:color w:val="FF0000"/>
          <w:sz w:val="32"/>
          <w:szCs w:val="32"/>
        </w:rPr>
        <w:t>期</w:t>
      </w:r>
      <w:r>
        <w:rPr>
          <w:rFonts w:hint="eastAsia" w:ascii="仿宋" w:hAnsi="仿宋" w:eastAsia="仿宋" w:cs="仿宋"/>
          <w:sz w:val="32"/>
          <w:szCs w:val="32"/>
        </w:rPr>
        <w:t>《</w:t>
      </w:r>
      <w:r>
        <w:rPr>
          <w:rFonts w:hint="default" w:ascii="仿宋" w:hAnsi="仿宋" w:eastAsia="仿宋" w:cs="仿宋"/>
          <w:sz w:val="32"/>
          <w:szCs w:val="32"/>
        </w:rPr>
        <w:t>招标</w:t>
      </w:r>
      <w:r>
        <w:rPr>
          <w:rFonts w:hint="eastAsia" w:ascii="仿宋" w:hAnsi="仿宋" w:eastAsia="仿宋" w:cs="仿宋"/>
          <w:sz w:val="32"/>
          <w:szCs w:val="32"/>
        </w:rPr>
        <w:t>交易公告》</w:t>
      </w:r>
      <w:r>
        <w:rPr>
          <w:rFonts w:hint="eastAsia" w:ascii="仿宋" w:hAnsi="仿宋" w:eastAsia="仿宋" w:cs="宋体"/>
          <w:sz w:val="32"/>
          <w:szCs w:val="32"/>
        </w:rPr>
        <w:t>的全部内容，接受上述文件中的所有规定及要求，提交了合格的资格预审所需资料及</w:t>
      </w:r>
      <w:r>
        <w:rPr>
          <w:rFonts w:hint="default" w:ascii="仿宋" w:hAnsi="仿宋" w:eastAsia="仿宋" w:cs="宋体"/>
          <w:sz w:val="32"/>
          <w:szCs w:val="32"/>
        </w:rPr>
        <w:t>招标</w:t>
      </w:r>
      <w:r>
        <w:rPr>
          <w:rFonts w:hint="eastAsia" w:ascii="仿宋" w:hAnsi="仿宋" w:eastAsia="仿宋" w:cs="宋体"/>
          <w:sz w:val="32"/>
          <w:szCs w:val="32"/>
        </w:rPr>
        <w:t>交易承诺书，按要求交纳了</w:t>
      </w:r>
      <w:r>
        <w:rPr>
          <w:rFonts w:ascii="仿宋" w:hAnsi="仿宋" w:eastAsia="仿宋" w:cs="宋体"/>
          <w:sz w:val="32"/>
          <w:szCs w:val="32"/>
        </w:rPr>
        <w:t>招标</w:t>
      </w:r>
      <w:r>
        <w:rPr>
          <w:rFonts w:hint="eastAsia" w:ascii="仿宋" w:hAnsi="仿宋" w:eastAsia="仿宋" w:cs="宋体"/>
          <w:sz w:val="32"/>
          <w:szCs w:val="32"/>
        </w:rPr>
        <w:t>保证金，获得了参与本期产品</w:t>
      </w:r>
      <w:r>
        <w:rPr>
          <w:rFonts w:hint="default" w:ascii="仿宋" w:hAnsi="仿宋" w:eastAsia="仿宋" w:cs="宋体"/>
          <w:sz w:val="32"/>
          <w:szCs w:val="32"/>
        </w:rPr>
        <w:t>招标</w:t>
      </w:r>
      <w:r>
        <w:rPr>
          <w:rFonts w:hint="eastAsia" w:ascii="仿宋" w:hAnsi="仿宋" w:eastAsia="仿宋" w:cs="宋体"/>
          <w:sz w:val="32"/>
          <w:szCs w:val="32"/>
        </w:rPr>
        <w:t>的资格。</w:t>
      </w:r>
    </w:p>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二、</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ascii="Calibri" w:hAnsi="Calibri" w:eastAsia="仿宋" w:cs="Calibri"/>
          <w:sz w:val="32"/>
          <w:szCs w:val="32"/>
          <w:u w:val="single"/>
        </w:rPr>
        <w:t> </w:t>
      </w:r>
      <w:r>
        <w:rPr>
          <w:rFonts w:hint="eastAsia" w:ascii="仿宋" w:hAnsi="仿宋" w:eastAsia="仿宋" w:cs="宋体"/>
          <w:sz w:val="32"/>
          <w:szCs w:val="32"/>
        </w:rPr>
        <w:t>（以下简称“竞得人”）竞得买方第</w:t>
      </w:r>
      <w:r>
        <w:rPr>
          <w:rFonts w:hint="eastAsia" w:ascii="仿宋" w:hAnsi="仿宋" w:eastAsia="仿宋" w:cs="宋体"/>
          <w:color w:val="FF0000"/>
          <w:sz w:val="32"/>
          <w:szCs w:val="32"/>
        </w:rPr>
        <w:t>ZLSS</w:t>
      </w:r>
      <w:r>
        <w:rPr>
          <w:rFonts w:ascii="仿宋" w:hAnsi="仿宋" w:eastAsia="仿宋" w:cs="宋体"/>
          <w:color w:val="FF0000"/>
          <w:sz w:val="32"/>
          <w:szCs w:val="32"/>
        </w:rPr>
        <w:t>-2023-</w:t>
      </w:r>
      <w:r>
        <w:rPr>
          <w:rFonts w:hint="eastAsia" w:ascii="仿宋" w:hAnsi="仿宋" w:eastAsia="仿宋" w:cs="宋体"/>
          <w:color w:val="FF0000"/>
          <w:sz w:val="32"/>
          <w:szCs w:val="32"/>
          <w:u w:val="single"/>
        </w:rPr>
        <w:t xml:space="preserve"> </w:t>
      </w:r>
      <w:r>
        <w:rPr>
          <w:rFonts w:hint="default" w:ascii="仿宋" w:hAnsi="仿宋" w:eastAsia="仿宋" w:cs="宋体"/>
          <w:color w:val="FF0000"/>
          <w:sz w:val="32"/>
          <w:szCs w:val="32"/>
          <w:u w:val="single"/>
        </w:rPr>
        <w:t>00</w:t>
      </w:r>
      <w:r>
        <w:rPr>
          <w:rFonts w:hint="eastAsia" w:ascii="仿宋" w:hAnsi="仿宋" w:eastAsia="仿宋" w:cs="宋体"/>
          <w:color w:val="FF0000"/>
          <w:sz w:val="32"/>
          <w:szCs w:val="32"/>
          <w:u w:val="single"/>
          <w:lang w:val="en-US" w:eastAsia="zh-CN"/>
        </w:rPr>
        <w:t xml:space="preserve">6 </w:t>
      </w:r>
      <w:r>
        <w:rPr>
          <w:rFonts w:ascii="仿宋" w:hAnsi="仿宋" w:eastAsia="仿宋" w:cs="宋体"/>
          <w:color w:val="FF0000"/>
          <w:sz w:val="32"/>
          <w:szCs w:val="32"/>
          <w:u w:val="single"/>
        </w:rPr>
        <w:t xml:space="preserve"> </w:t>
      </w:r>
      <w:r>
        <w:rPr>
          <w:rFonts w:hint="eastAsia" w:ascii="仿宋" w:hAnsi="仿宋" w:eastAsia="仿宋" w:cs="宋体"/>
          <w:sz w:val="32"/>
          <w:szCs w:val="32"/>
        </w:rPr>
        <w:t>期砂石产品信息如下：</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18"/>
        <w:gridCol w:w="1842"/>
        <w:gridCol w:w="19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材料名称</w:t>
            </w:r>
          </w:p>
        </w:tc>
        <w:tc>
          <w:tcPr>
            <w:tcW w:w="1418"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交货地点</w:t>
            </w:r>
          </w:p>
        </w:tc>
        <w:tc>
          <w:tcPr>
            <w:tcW w:w="1842"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数量（万吨）</w:t>
            </w:r>
          </w:p>
        </w:tc>
        <w:tc>
          <w:tcPr>
            <w:tcW w:w="1985"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单价（元/吨）</w:t>
            </w:r>
          </w:p>
        </w:tc>
        <w:tc>
          <w:tcPr>
            <w:tcW w:w="1276"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r>
              <w:rPr>
                <w:rFonts w:hint="eastAsia" w:ascii="仿宋" w:hAnsi="仿宋" w:eastAsia="仿宋" w:cs="宋体"/>
                <w:sz w:val="28"/>
                <w:szCs w:val="32"/>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3"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418"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842"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985"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c>
          <w:tcPr>
            <w:tcW w:w="1276" w:type="dxa"/>
            <w:vAlign w:val="center"/>
          </w:tcPr>
          <w:p>
            <w:pPr>
              <w:pStyle w:val="9"/>
              <w:keepNext w:val="0"/>
              <w:keepLines w:val="0"/>
              <w:widowControl/>
              <w:suppressLineNumbers w:val="0"/>
              <w:spacing w:before="0" w:after="0"/>
              <w:ind w:left="0" w:right="0"/>
              <w:jc w:val="center"/>
              <w:rPr>
                <w:rFonts w:hint="default" w:ascii="仿宋" w:hAnsi="仿宋" w:eastAsia="仿宋" w:cs="宋体"/>
                <w:sz w:val="28"/>
                <w:szCs w:val="32"/>
              </w:rPr>
            </w:pPr>
          </w:p>
        </w:tc>
      </w:tr>
    </w:tbl>
    <w:p>
      <w:pPr>
        <w:pStyle w:val="9"/>
        <w:widowControl/>
        <w:ind w:firstLine="640" w:firstLineChars="200"/>
        <w:rPr>
          <w:rFonts w:ascii="仿宋" w:hAnsi="仿宋" w:eastAsia="仿宋" w:cs="宋体"/>
          <w:sz w:val="32"/>
          <w:szCs w:val="32"/>
        </w:rPr>
      </w:pPr>
      <w:r>
        <w:rPr>
          <w:rFonts w:hint="eastAsia" w:ascii="仿宋" w:hAnsi="仿宋" w:eastAsia="仿宋" w:cs="宋体"/>
          <w:sz w:val="32"/>
          <w:szCs w:val="32"/>
        </w:rPr>
        <w:t>买方、竞得人对竞价过程和成交结果均无异议。</w:t>
      </w:r>
    </w:p>
    <w:p>
      <w:pPr>
        <w:spacing w:line="360" w:lineRule="auto"/>
        <w:ind w:right="15" w:rightChars="7" w:firstLine="641"/>
        <w:rPr>
          <w:rFonts w:ascii="仿宋" w:hAnsi="仿宋" w:eastAsia="仿宋" w:cs="宋体"/>
          <w:sz w:val="28"/>
          <w:szCs w:val="28"/>
        </w:rPr>
      </w:pPr>
      <w:r>
        <w:rPr>
          <w:rFonts w:hint="eastAsia" w:ascii="仿宋" w:hAnsi="仿宋" w:eastAsia="仿宋" w:cs="宋体"/>
          <w:sz w:val="32"/>
          <w:szCs w:val="32"/>
        </w:rPr>
        <w:t>三、根据实际交货地点及业务需要，竞得人须于本确认书签订后</w:t>
      </w:r>
      <w:r>
        <w:rPr>
          <w:rFonts w:hint="eastAsia" w:ascii="仿宋" w:hAnsi="仿宋" w:eastAsia="仿宋" w:cs="宋体"/>
          <w:b/>
          <w:sz w:val="32"/>
          <w:szCs w:val="32"/>
        </w:rPr>
        <w:t>1个工作</w:t>
      </w:r>
      <w:r>
        <w:rPr>
          <w:rFonts w:hint="eastAsia" w:ascii="仿宋" w:hAnsi="仿宋" w:eastAsia="仿宋" w:cs="宋体"/>
          <w:b/>
          <w:bCs/>
          <w:sz w:val="32"/>
          <w:szCs w:val="32"/>
        </w:rPr>
        <w:t>日</w:t>
      </w:r>
      <w:r>
        <w:rPr>
          <w:rFonts w:hint="eastAsia" w:ascii="仿宋" w:hAnsi="仿宋" w:eastAsia="仿宋" w:cs="宋体"/>
          <w:sz w:val="32"/>
          <w:szCs w:val="32"/>
        </w:rPr>
        <w:t>内与</w:t>
      </w:r>
      <w:r>
        <w:rPr>
          <w:rFonts w:hint="eastAsia" w:ascii="仿宋" w:hAnsi="仿宋" w:eastAsia="仿宋" w:cs="仿宋"/>
          <w:sz w:val="32"/>
          <w:szCs w:val="32"/>
          <w:lang w:bidi="ar"/>
        </w:rPr>
        <w:t>南京中联混凝土有限公司及相关分公司（包括</w:t>
      </w:r>
      <w:r>
        <w:rPr>
          <w:rFonts w:hint="eastAsia" w:ascii="仿宋" w:hAnsi="仿宋" w:eastAsia="仿宋" w:cs="宋体"/>
          <w:kern w:val="0"/>
          <w:sz w:val="32"/>
          <w:szCs w:val="32"/>
        </w:rPr>
        <w:t>南京中联混凝土有限公司溧水分公司、南京中联混凝土有限公司溧水开发区分公司、南京中联混凝土有限公司栖霞分公司、南京中联混凝土有限公司星甸分公司、南京中联混凝土有限公司永宁分公司、南京中联混凝土有限公司六合分公司</w:t>
      </w:r>
      <w:r>
        <w:rPr>
          <w:rFonts w:hint="eastAsia" w:ascii="仿宋" w:hAnsi="仿宋" w:eastAsia="仿宋" w:cs="仿宋"/>
          <w:sz w:val="32"/>
          <w:szCs w:val="32"/>
          <w:lang w:bidi="ar"/>
        </w:rPr>
        <w:t>）</w:t>
      </w:r>
      <w:r>
        <w:rPr>
          <w:rFonts w:hint="eastAsia" w:ascii="仿宋" w:hAnsi="仿宋" w:eastAsia="仿宋" w:cs="宋体"/>
          <w:sz w:val="32"/>
          <w:szCs w:val="32"/>
        </w:rPr>
        <w:t>签订《预拌混凝土原材料采购合同（砂、石）》。</w:t>
      </w:r>
    </w:p>
    <w:p>
      <w:pPr>
        <w:spacing w:line="360" w:lineRule="auto"/>
        <w:ind w:firstLine="641"/>
        <w:rPr>
          <w:rFonts w:ascii="仿宋" w:hAnsi="仿宋" w:eastAsia="仿宋" w:cs="宋体"/>
          <w:sz w:val="32"/>
          <w:szCs w:val="32"/>
        </w:rPr>
      </w:pPr>
      <w:r>
        <w:rPr>
          <w:rFonts w:hint="eastAsia" w:ascii="仿宋" w:hAnsi="仿宋" w:eastAsia="仿宋" w:cs="宋体"/>
          <w:sz w:val="32"/>
          <w:szCs w:val="32"/>
        </w:rPr>
        <w:t>四、本确认书一式贰份，买方、竞得人各执壹份。</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买方（盖章）：</w:t>
      </w:r>
      <w:r>
        <w:rPr>
          <w:rFonts w:hint="eastAsia" w:ascii="仿宋" w:hAnsi="仿宋" w:eastAsia="仿宋" w:cs="仿宋"/>
          <w:sz w:val="32"/>
          <w:szCs w:val="32"/>
          <w:lang w:bidi="ar"/>
        </w:rPr>
        <w:t>南京中联混凝土有限公司</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竞得人（盖章）：</w:t>
      </w:r>
    </w:p>
    <w:p>
      <w:pPr>
        <w:autoSpaceDE w:val="0"/>
        <w:autoSpaceDN w:val="0"/>
        <w:adjustRightIn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法定代表人（或授权委托代理人）（签名）：</w:t>
      </w:r>
    </w:p>
    <w:p>
      <w:pPr>
        <w:autoSpaceDE w:val="0"/>
        <w:autoSpaceDN w:val="0"/>
        <w:adjustRightInd w:val="0"/>
        <w:spacing w:line="560" w:lineRule="exact"/>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 xml:space="preserve"> </w:t>
      </w:r>
    </w:p>
    <w:p>
      <w:pPr>
        <w:autoSpaceDE w:val="0"/>
        <w:autoSpaceDN w:val="0"/>
        <w:adjustRightInd w:val="0"/>
        <w:spacing w:line="560" w:lineRule="exact"/>
        <w:jc w:val="left"/>
        <w:rPr>
          <w:rFonts w:ascii="仿宋" w:hAnsi="仿宋" w:eastAsia="仿宋" w:cs="宋体"/>
          <w:kern w:val="0"/>
          <w:sz w:val="32"/>
          <w:szCs w:val="32"/>
        </w:rPr>
      </w:pPr>
    </w:p>
    <w:p>
      <w:pPr>
        <w:spacing w:line="560" w:lineRule="exact"/>
        <w:ind w:firstLine="480"/>
        <w:rPr>
          <w:rFonts w:ascii="仿宋" w:hAnsi="仿宋" w:eastAsia="仿宋" w:cs="宋体"/>
          <w:kern w:val="0"/>
          <w:sz w:val="28"/>
          <w:szCs w:val="28"/>
        </w:rPr>
      </w:pPr>
      <w:r>
        <w:rPr>
          <w:rFonts w:hint="eastAsia" w:ascii="仿宋" w:hAnsi="仿宋" w:eastAsia="仿宋" w:cs="宋体"/>
          <w:kern w:val="0"/>
          <w:sz w:val="32"/>
          <w:szCs w:val="32"/>
        </w:rPr>
        <w:t xml:space="preserve">                       </w:t>
      </w:r>
      <w:r>
        <w:rPr>
          <w:rFonts w:hint="eastAsia" w:ascii="仿宋" w:hAnsi="仿宋" w:eastAsia="仿宋" w:cs="宋体"/>
          <w:kern w:val="0"/>
          <w:sz w:val="28"/>
          <w:szCs w:val="28"/>
        </w:rPr>
        <w:t xml:space="preserve">日    期： </w:t>
      </w:r>
      <w:r>
        <w:rPr>
          <w:rFonts w:hint="default" w:ascii="仿宋" w:hAnsi="仿宋" w:eastAsia="仿宋" w:cs="宋体"/>
          <w:kern w:val="0"/>
          <w:sz w:val="28"/>
          <w:szCs w:val="28"/>
        </w:rPr>
        <w:t>2023</w:t>
      </w:r>
      <w:r>
        <w:rPr>
          <w:rFonts w:hint="eastAsia" w:ascii="仿宋" w:hAnsi="仿宋" w:eastAsia="仿宋" w:cs="宋体"/>
          <w:kern w:val="0"/>
          <w:sz w:val="28"/>
          <w:szCs w:val="28"/>
        </w:rPr>
        <w:t>年</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 xml:space="preserve">日  </w:t>
      </w:r>
    </w:p>
    <w:p>
      <w:pPr>
        <w:spacing w:line="360" w:lineRule="auto"/>
        <w:jc w:val="left"/>
        <w:rPr>
          <w:sz w:val="24"/>
          <w:szCs w:val="24"/>
        </w:rPr>
      </w:pPr>
    </w:p>
    <w:p>
      <w:pPr>
        <w:jc w:val="center"/>
        <w:rPr>
          <w:sz w:val="24"/>
          <w:szCs w:val="24"/>
        </w:rPr>
      </w:pPr>
    </w:p>
    <w:p>
      <w:pPr>
        <w:jc w:val="center"/>
        <w:rPr>
          <w:rFonts w:ascii="宋体" w:hAnsi="宋体"/>
          <w:b/>
          <w:sz w:val="44"/>
          <w:szCs w:val="44"/>
        </w:rPr>
      </w:pPr>
    </w:p>
    <w:p>
      <w:pPr>
        <w:pStyle w:val="10"/>
        <w:jc w:val="both"/>
        <w:rPr>
          <w:rFonts w:asciiTheme="majorEastAsia" w:hAnsiTheme="majorEastAsia" w:eastAsiaTheme="majorEastAsia" w:cstheme="minorBidi"/>
        </w:rPr>
      </w:pPr>
    </w:p>
    <w:p>
      <w:pPr>
        <w:pStyle w:val="10"/>
        <w:jc w:val="both"/>
        <w:rPr>
          <w:rFonts w:asciiTheme="majorEastAsia" w:hAnsiTheme="majorEastAsia" w:eastAsiaTheme="majorEastAsia" w:cstheme="minorBidi"/>
        </w:rPr>
      </w:pPr>
    </w:p>
    <w:p>
      <w:pPr>
        <w:rPr>
          <w:rFonts w:asciiTheme="majorEastAsia" w:hAnsiTheme="majorEastAsia" w:eastAsiaTheme="majorEastAsia" w:cstheme="minorBidi"/>
        </w:rPr>
      </w:pPr>
    </w:p>
    <w:p>
      <w:pPr>
        <w:widowControl/>
        <w:jc w:val="center"/>
        <w:rPr>
          <w:rFonts w:ascii="黑体" w:hAnsi="黑体" w:eastAsia="黑体" w:cs="宋体"/>
          <w:b/>
          <w:kern w:val="0"/>
          <w:szCs w:val="21"/>
        </w:rPr>
      </w:pPr>
    </w:p>
    <w:p>
      <w:pPr>
        <w:widowControl/>
        <w:jc w:val="center"/>
        <w:rPr>
          <w:rFonts w:ascii="黑体" w:hAnsi="黑体" w:eastAsia="黑体" w:cs="宋体"/>
          <w:b/>
          <w:kern w:val="0"/>
          <w:szCs w:val="21"/>
        </w:rPr>
      </w:pPr>
    </w:p>
    <w:p>
      <w:pPr>
        <w:widowControl/>
        <w:jc w:val="center"/>
        <w:rPr>
          <w:rFonts w:hint="eastAsia" w:ascii="黑体" w:hAnsi="黑体" w:eastAsia="黑体" w:cs="宋体"/>
          <w:b/>
          <w:kern w:val="0"/>
          <w:szCs w:val="21"/>
        </w:rPr>
      </w:pPr>
      <w:r>
        <w:rPr>
          <w:rFonts w:ascii="黑体" w:hAnsi="黑体" w:eastAsia="黑体" w:cs="宋体"/>
          <w:b/>
          <w:kern w:val="0"/>
          <w:szCs w:val="21"/>
        </w:rPr>
        <w:t>（文件袋</w:t>
      </w:r>
      <w:r>
        <w:rPr>
          <w:rFonts w:hint="eastAsia" w:ascii="黑体" w:hAnsi="黑体" w:eastAsia="黑体" w:cs="宋体"/>
          <w:b/>
          <w:kern w:val="0"/>
          <w:szCs w:val="21"/>
        </w:rPr>
        <w:t>封面）</w:t>
      </w:r>
    </w:p>
    <w:p>
      <w:pPr>
        <w:pStyle w:val="2"/>
      </w:pPr>
      <w:r>
        <w:rPr>
          <w:rFonts w:hint="eastAsia" w:asciiTheme="majorEastAsia" w:hAnsiTheme="majorEastAsia" w:eastAsiaTheme="majorEastAsia" w:cstheme="minorBidi"/>
        </w:rPr>
        <w:t>附件</w:t>
      </w:r>
      <w:r>
        <w:rPr>
          <w:rFonts w:hint="eastAsia" w:asciiTheme="majorEastAsia" w:hAnsiTheme="majorEastAsia" w:eastAsiaTheme="majorEastAsia" w:cstheme="minorBidi"/>
          <w:lang w:val="en-US" w:eastAsia="zh-CN"/>
        </w:rPr>
        <w:t>5</w:t>
      </w:r>
      <w:r>
        <w:rPr>
          <w:rFonts w:hint="eastAsia" w:asciiTheme="majorEastAsia" w:hAnsiTheme="majorEastAsia" w:eastAsiaTheme="majorEastAsia" w:cstheme="minorBidi"/>
        </w:rPr>
        <w:t>：</w:t>
      </w:r>
    </w:p>
    <w:p>
      <w:pPr>
        <w:widowControl/>
        <w:tabs>
          <w:tab w:val="left" w:pos="1453"/>
        </w:tabs>
        <w:jc w:val="left"/>
        <w:rPr>
          <w:rFonts w:ascii="黑体" w:hAnsi="黑体" w:eastAsia="黑体" w:cs="宋体"/>
          <w:b/>
          <w:kern w:val="0"/>
          <w:sz w:val="44"/>
          <w:szCs w:val="44"/>
        </w:rPr>
      </w:pPr>
      <w:r>
        <w:rPr>
          <w:rFonts w:hint="eastAsia" w:ascii="黑体" w:hAnsi="黑体" w:eastAsia="黑体" w:cs="宋体"/>
          <w:b/>
          <w:kern w:val="0"/>
          <w:sz w:val="44"/>
          <w:szCs w:val="44"/>
        </w:rPr>
        <w:tab/>
      </w:r>
    </w:p>
    <w:p>
      <w:pPr>
        <w:widowControl/>
        <w:jc w:val="center"/>
        <w:rPr>
          <w:rFonts w:ascii="黑体" w:hAnsi="黑体" w:eastAsia="黑体"/>
          <w:sz w:val="44"/>
          <w:szCs w:val="44"/>
        </w:rPr>
      </w:pPr>
      <w:r>
        <w:rPr>
          <w:rFonts w:hint="eastAsia" w:ascii="黑体" w:hAnsi="黑体" w:eastAsia="黑体" w:cs="宋体"/>
          <w:b/>
          <w:kern w:val="0"/>
          <w:sz w:val="44"/>
          <w:szCs w:val="44"/>
        </w:rPr>
        <w:t>南京中联</w:t>
      </w:r>
      <w:r>
        <w:rPr>
          <w:rFonts w:hint="eastAsia" w:ascii="黑体" w:hAnsi="黑体" w:eastAsia="黑体" w:cs="MS Gothic"/>
          <w:b/>
          <w:kern w:val="0"/>
          <w:sz w:val="44"/>
          <w:szCs w:val="44"/>
        </w:rPr>
        <w:t>混凝土有限公司</w:t>
      </w:r>
    </w:p>
    <w:p>
      <w:pPr>
        <w:widowControl/>
        <w:jc w:val="center"/>
        <w:rPr>
          <w:rFonts w:ascii="黑体" w:hAnsi="黑体" w:eastAsia="黑体" w:cs="宋体"/>
          <w:b/>
          <w:kern w:val="0"/>
          <w:sz w:val="44"/>
          <w:szCs w:val="44"/>
        </w:rPr>
      </w:pPr>
    </w:p>
    <w:p>
      <w:pPr>
        <w:widowControl/>
        <w:jc w:val="center"/>
        <w:rPr>
          <w:rFonts w:ascii="黑体" w:hAnsi="黑体" w:eastAsia="黑体"/>
          <w:sz w:val="44"/>
          <w:szCs w:val="44"/>
        </w:rPr>
      </w:pPr>
      <w:r>
        <w:rPr>
          <w:rFonts w:hint="eastAsia" w:ascii="黑体" w:hAnsi="黑体" w:eastAsia="黑体" w:cs="宋体"/>
          <w:b/>
          <w:kern w:val="0"/>
          <w:sz w:val="44"/>
          <w:szCs w:val="44"/>
        </w:rPr>
        <w:t>砂石产</w:t>
      </w:r>
      <w:r>
        <w:rPr>
          <w:rFonts w:hint="eastAsia" w:ascii="黑体" w:hAnsi="黑体" w:eastAsia="黑体" w:cs="MS Gothic"/>
          <w:b/>
          <w:kern w:val="0"/>
          <w:sz w:val="44"/>
          <w:szCs w:val="44"/>
        </w:rPr>
        <w:t>品</w:t>
      </w:r>
      <w:r>
        <w:rPr>
          <w:rFonts w:hint="eastAsia" w:ascii="黑体" w:hAnsi="黑体" w:eastAsia="黑体" w:cs="宋体"/>
          <w:b/>
          <w:kern w:val="0"/>
          <w:sz w:val="44"/>
          <w:szCs w:val="44"/>
        </w:rPr>
        <w:t>报</w:t>
      </w:r>
      <w:r>
        <w:rPr>
          <w:rFonts w:hint="eastAsia" w:ascii="黑体" w:hAnsi="黑体" w:eastAsia="黑体" w:cs="MS Gothic"/>
          <w:b/>
          <w:kern w:val="0"/>
          <w:sz w:val="44"/>
          <w:szCs w:val="44"/>
        </w:rPr>
        <w:t>价文件</w:t>
      </w:r>
    </w:p>
    <w:p>
      <w:pPr>
        <w:widowControl/>
        <w:tabs>
          <w:tab w:val="left" w:pos="5520"/>
        </w:tabs>
        <w:jc w:val="center"/>
        <w:rPr>
          <w:rFonts w:ascii="宋体" w:hAnsi="宋体" w:eastAsia="宋体" w:cs="宋体"/>
          <w:b/>
          <w:kern w:val="0"/>
          <w:sz w:val="28"/>
          <w:szCs w:val="28"/>
        </w:rPr>
      </w:pPr>
    </w:p>
    <w:p>
      <w:pPr>
        <w:widowControl/>
        <w:tabs>
          <w:tab w:val="left" w:pos="5520"/>
        </w:tabs>
        <w:jc w:val="center"/>
        <w:rPr>
          <w:rFonts w:ascii="宋体" w:hAnsi="宋体" w:eastAsia="宋体" w:cs="宋体"/>
          <w:b/>
          <w:kern w:val="0"/>
          <w:sz w:val="28"/>
          <w:szCs w:val="28"/>
          <w:u w:val="single"/>
        </w:rPr>
      </w:pPr>
      <w:r>
        <w:rPr>
          <w:rFonts w:hint="eastAsia" w:ascii="宋体" w:hAnsi="宋体" w:eastAsia="宋体" w:cs="宋体"/>
          <w:b/>
          <w:kern w:val="0"/>
          <w:sz w:val="28"/>
          <w:szCs w:val="28"/>
        </w:rPr>
        <w:t>编号:ZLSS-</w:t>
      </w:r>
      <w:r>
        <w:rPr>
          <w:rFonts w:hint="default" w:ascii="宋体" w:hAnsi="宋体" w:eastAsia="宋体" w:cs="宋体"/>
          <w:b/>
          <w:kern w:val="0"/>
          <w:sz w:val="28"/>
          <w:szCs w:val="28"/>
        </w:rPr>
        <w:t>2023</w:t>
      </w:r>
      <w:r>
        <w:rPr>
          <w:rFonts w:hint="eastAsia" w:ascii="宋体" w:hAnsi="宋体" w:eastAsia="宋体" w:cs="宋体"/>
          <w:b/>
          <w:kern w:val="0"/>
          <w:sz w:val="28"/>
          <w:szCs w:val="28"/>
        </w:rPr>
        <w:t>-</w:t>
      </w:r>
      <w:r>
        <w:rPr>
          <w:rFonts w:hint="eastAsia" w:ascii="宋体" w:hAnsi="宋体" w:eastAsia="宋体" w:cs="宋体"/>
          <w:b/>
          <w:kern w:val="0"/>
          <w:sz w:val="28"/>
          <w:szCs w:val="28"/>
          <w:u w:val="single"/>
        </w:rPr>
        <w:t xml:space="preserve">  </w:t>
      </w:r>
      <w:r>
        <w:rPr>
          <w:rFonts w:ascii="宋体" w:hAnsi="宋体" w:eastAsia="宋体" w:cs="宋体"/>
          <w:b/>
          <w:kern w:val="0"/>
          <w:sz w:val="28"/>
          <w:szCs w:val="28"/>
          <w:u w:val="single"/>
        </w:rPr>
        <w:t>00</w:t>
      </w:r>
      <w:r>
        <w:rPr>
          <w:rFonts w:hint="eastAsia" w:ascii="宋体" w:hAnsi="宋体" w:eastAsia="宋体" w:cs="宋体"/>
          <w:b/>
          <w:kern w:val="0"/>
          <w:sz w:val="28"/>
          <w:szCs w:val="28"/>
          <w:u w:val="single"/>
          <w:lang w:val="en-US" w:eastAsia="zh-CN"/>
        </w:rPr>
        <w:t>6</w:t>
      </w:r>
      <w:r>
        <w:rPr>
          <w:rFonts w:hint="eastAsia" w:ascii="宋体" w:hAnsi="宋体" w:eastAsia="宋体" w:cs="宋体"/>
          <w:b/>
          <w:kern w:val="0"/>
          <w:sz w:val="28"/>
          <w:szCs w:val="28"/>
          <w:u w:val="single"/>
        </w:rPr>
        <w:t xml:space="preserve"> </w:t>
      </w:r>
      <w:r>
        <w:rPr>
          <w:rFonts w:hint="eastAsia" w:ascii="宋体" w:hAnsi="宋体" w:eastAsia="宋体" w:cs="宋体"/>
          <w:b/>
          <w:kern w:val="0"/>
          <w:sz w:val="28"/>
          <w:szCs w:val="28"/>
        </w:rPr>
        <w:t>期</w:t>
      </w:r>
    </w:p>
    <w:p>
      <w:pPr>
        <w:pStyle w:val="2"/>
      </w:pPr>
    </w:p>
    <w:p>
      <w:pPr>
        <w:widowControl/>
        <w:jc w:val="left"/>
        <w:rPr>
          <w:rFonts w:ascii="宋体" w:hAnsi="宋体" w:eastAsia="宋体" w:cs="宋体"/>
          <w:b/>
          <w:kern w:val="0"/>
          <w:sz w:val="28"/>
          <w:szCs w:val="28"/>
        </w:rPr>
      </w:pPr>
    </w:p>
    <w:p>
      <w:pPr>
        <w:widowControl/>
        <w:jc w:val="left"/>
        <w:rPr>
          <w:rFonts w:cs="宋体" w:asciiTheme="minorEastAsia" w:hAnsiTheme="minorEastAsia"/>
          <w:b/>
          <w:kern w:val="0"/>
          <w:sz w:val="28"/>
          <w:szCs w:val="28"/>
        </w:rPr>
      </w:pPr>
    </w:p>
    <w:p>
      <w:pPr>
        <w:widowControl/>
        <w:jc w:val="center"/>
        <w:rPr>
          <w:rFonts w:asciiTheme="minorEastAsia" w:hAnsiTheme="minorEastAsia"/>
        </w:rPr>
      </w:pPr>
      <w:r>
        <w:rPr>
          <w:rFonts w:hint="eastAsia" w:cs="宋体" w:asciiTheme="minorEastAsia" w:hAnsiTheme="minorEastAsia"/>
          <w:b/>
          <w:kern w:val="0"/>
          <w:sz w:val="28"/>
          <w:szCs w:val="28"/>
        </w:rPr>
        <w:t>竞 标 人：</w:t>
      </w:r>
      <w:r>
        <w:rPr>
          <w:rFonts w:hint="eastAsia" w:cs="宋体" w:asciiTheme="minorEastAsia" w:hAnsiTheme="minorEastAsia"/>
          <w:b/>
          <w:kern w:val="0"/>
          <w:sz w:val="28"/>
          <w:szCs w:val="28"/>
          <w:u w:val="single"/>
          <w:lang w:val="en-US" w:eastAsia="zh-CN"/>
        </w:rPr>
        <w:t xml:space="preserve">                     </w:t>
      </w:r>
      <w:r>
        <w:rPr>
          <w:rFonts w:hint="eastAsia" w:cs="宋体" w:asciiTheme="minorEastAsia" w:hAnsiTheme="minorEastAsia"/>
          <w:b/>
          <w:kern w:val="0"/>
          <w:sz w:val="28"/>
          <w:szCs w:val="28"/>
        </w:rPr>
        <w:t>（盖单位章）</w:t>
      </w:r>
    </w:p>
    <w:p>
      <w:pPr>
        <w:widowControl/>
        <w:jc w:val="center"/>
        <w:rPr>
          <w:rFonts w:cs="宋体" w:asciiTheme="minorEastAsia" w:hAnsiTheme="minorEastAsia"/>
          <w:b/>
          <w:kern w:val="0"/>
          <w:sz w:val="28"/>
          <w:szCs w:val="28"/>
        </w:rPr>
      </w:pPr>
    </w:p>
    <w:p>
      <w:pPr>
        <w:widowControl/>
        <w:jc w:val="center"/>
        <w:rPr>
          <w:rFonts w:asciiTheme="minorEastAsia" w:hAnsiTheme="minorEastAsia"/>
        </w:rPr>
      </w:pPr>
      <w:r>
        <w:rPr>
          <w:rFonts w:hint="eastAsia" w:cs="宋体" w:asciiTheme="minorEastAsia" w:hAnsiTheme="minorEastAsia"/>
          <w:b/>
          <w:kern w:val="0"/>
          <w:sz w:val="28"/>
          <w:szCs w:val="28"/>
        </w:rPr>
        <w:t>法定代表人或其委托代理人：___________（签名）</w:t>
      </w:r>
    </w:p>
    <w:p>
      <w:pPr>
        <w:widowControl/>
        <w:jc w:val="center"/>
        <w:rPr>
          <w:rFonts w:cs="仿宋" w:asciiTheme="minorEastAsia" w:hAnsiTheme="minorEastAsia"/>
          <w:kern w:val="0"/>
          <w:sz w:val="28"/>
          <w:szCs w:val="28"/>
        </w:rPr>
      </w:pPr>
    </w:p>
    <w:p>
      <w:pPr>
        <w:widowControl/>
        <w:jc w:val="center"/>
        <w:rPr>
          <w:rFonts w:cs="仿宋" w:asciiTheme="minorEastAsia" w:hAnsiTheme="minorEastAsia"/>
          <w:kern w:val="0"/>
          <w:sz w:val="28"/>
          <w:szCs w:val="28"/>
        </w:rPr>
      </w:pPr>
    </w:p>
    <w:p>
      <w:pPr>
        <w:spacing w:line="560" w:lineRule="exact"/>
        <w:ind w:firstLine="640" w:firstLineChars="200"/>
        <w:jc w:val="center"/>
        <w:rPr>
          <w:rFonts w:ascii="仿宋_GB2312" w:hAnsi="仿宋_GB2312" w:eastAsia="仿宋_GB2312" w:cs="仿宋_GB2312"/>
          <w:sz w:val="32"/>
          <w:szCs w:val="32"/>
        </w:rPr>
      </w:pPr>
      <w:r>
        <w:rPr>
          <w:rFonts w:hint="default"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widowControl/>
        <w:jc w:val="left"/>
        <w:rPr>
          <w:rFonts w:cs="仿宋" w:asciiTheme="minorEastAsia" w:hAnsiTheme="minorEastAsia"/>
          <w:kern w:val="0"/>
          <w:sz w:val="28"/>
          <w:szCs w:val="28"/>
        </w:rPr>
      </w:pPr>
    </w:p>
    <w:p>
      <w:pPr>
        <w:widowControl/>
        <w:jc w:val="left"/>
        <w:rPr>
          <w:rFonts w:ascii="黑体" w:hAnsi="宋体" w:eastAsia="黑体" w:cs="黑体"/>
          <w:b/>
          <w:kern w:val="0"/>
          <w:sz w:val="31"/>
          <w:szCs w:val="31"/>
        </w:rPr>
      </w:pPr>
    </w:p>
    <w:p>
      <w:pPr>
        <w:rPr>
          <w:rFonts w:ascii="黑体" w:hAnsi="黑体" w:eastAsia="黑体" w:cs="Arial-BoldMT"/>
          <w:b/>
          <w:kern w:val="0"/>
          <w:sz w:val="36"/>
          <w:szCs w:val="36"/>
        </w:rPr>
      </w:pPr>
      <w:r>
        <w:rPr>
          <w:rFonts w:hint="eastAsia" w:ascii="黑体" w:hAnsi="黑体" w:eastAsia="黑体" w:cs="Arial-BoldMT"/>
          <w:b/>
          <w:kern w:val="0"/>
          <w:sz w:val="36"/>
          <w:szCs w:val="36"/>
        </w:rPr>
        <w:br w:type="page"/>
      </w:r>
    </w:p>
    <w:p>
      <w:pPr>
        <w:rPr>
          <w:rFonts w:asciiTheme="minorEastAsia" w:hAnsiTheme="minorEastAsia" w:cstheme="minorEastAsia"/>
          <w:sz w:val="28"/>
          <w:szCs w:val="28"/>
        </w:rPr>
      </w:pPr>
    </w:p>
    <w:p>
      <w:pPr>
        <w:widowControl/>
        <w:ind w:left="-2" w:leftChars="-1" w:firstLine="723" w:firstLineChars="200"/>
        <w:jc w:val="center"/>
        <w:rPr>
          <w:rFonts w:asciiTheme="minorEastAsia" w:hAnsiTheme="minorEastAsia" w:cstheme="minorEastAsia"/>
          <w:b/>
          <w:bCs/>
          <w:kern w:val="0"/>
          <w:sz w:val="36"/>
          <w:szCs w:val="36"/>
        </w:rPr>
      </w:pPr>
      <w:r>
        <w:rPr>
          <w:rFonts w:hint="eastAsia" w:asciiTheme="minorEastAsia" w:hAnsiTheme="minorEastAsia" w:cstheme="minorEastAsia"/>
          <w:b/>
          <w:bCs/>
          <w:kern w:val="0"/>
          <w:sz w:val="36"/>
          <w:szCs w:val="36"/>
        </w:rPr>
        <w:t>填报提示：</w:t>
      </w:r>
    </w:p>
    <w:p>
      <w:pPr>
        <w:widowControl/>
        <w:tabs>
          <w:tab w:val="left" w:pos="630"/>
        </w:tabs>
        <w:jc w:val="left"/>
        <w:rPr>
          <w:rFonts w:asciiTheme="minorEastAsia" w:hAnsiTheme="minorEastAsia" w:cstheme="minorEastAsia"/>
          <w:kern w:val="0"/>
          <w:sz w:val="28"/>
          <w:szCs w:val="28"/>
        </w:rPr>
      </w:pPr>
    </w:p>
    <w:p>
      <w:pPr>
        <w:spacing w:line="560" w:lineRule="exact"/>
        <w:ind w:firstLine="560" w:firstLineChars="200"/>
        <w:rPr>
          <w:rFonts w:asciiTheme="minorEastAsia" w:hAnsiTheme="minorEastAsia" w:cstheme="minorEastAsia"/>
          <w:b/>
          <w:bCs/>
          <w:kern w:val="0"/>
          <w:sz w:val="28"/>
          <w:szCs w:val="28"/>
          <w:lang w:bidi="ar"/>
        </w:rPr>
      </w:pPr>
      <w:r>
        <w:rPr>
          <w:rFonts w:hint="eastAsia" w:asciiTheme="minorEastAsia" w:hAnsiTheme="minorEastAsia" w:cstheme="minorEastAsia"/>
          <w:kern w:val="0"/>
          <w:sz w:val="28"/>
          <w:szCs w:val="28"/>
        </w:rPr>
        <w:t>1.船运到港产品</w:t>
      </w:r>
      <w:r>
        <w:rPr>
          <w:rFonts w:hint="eastAsia" w:asciiTheme="minorEastAsia" w:hAnsiTheme="minorEastAsia" w:cstheme="minorEastAsia"/>
          <w:kern w:val="0"/>
          <w:sz w:val="28"/>
          <w:szCs w:val="28"/>
          <w:lang w:eastAsia="zh-CN"/>
        </w:rPr>
        <w:t>投</w:t>
      </w:r>
      <w:r>
        <w:rPr>
          <w:rFonts w:hint="default" w:asciiTheme="minorEastAsia" w:hAnsiTheme="minorEastAsia" w:cstheme="minorEastAsia"/>
          <w:kern w:val="0"/>
          <w:sz w:val="28"/>
          <w:szCs w:val="28"/>
        </w:rPr>
        <w:t>标</w:t>
      </w:r>
      <w:r>
        <w:rPr>
          <w:rFonts w:hint="eastAsia" w:asciiTheme="minorEastAsia" w:hAnsiTheme="minorEastAsia" w:cstheme="minorEastAsia"/>
          <w:kern w:val="0"/>
          <w:sz w:val="28"/>
          <w:szCs w:val="28"/>
        </w:rPr>
        <w:t>数可报1～2标，</w:t>
      </w:r>
      <w:r>
        <w:rPr>
          <w:rFonts w:hint="eastAsia" w:asciiTheme="minorEastAsia" w:hAnsiTheme="minorEastAsia" w:cstheme="minorEastAsia"/>
          <w:kern w:val="0"/>
          <w:sz w:val="28"/>
          <w:szCs w:val="28"/>
          <w:lang w:bidi="ar"/>
        </w:rPr>
        <w:t>（需为整数），具体</w:t>
      </w:r>
      <w:r>
        <w:rPr>
          <w:rFonts w:hint="eastAsia" w:asciiTheme="minorEastAsia" w:hAnsiTheme="minorEastAsia" w:cstheme="minorEastAsia"/>
          <w:kern w:val="0"/>
          <w:sz w:val="28"/>
          <w:szCs w:val="28"/>
          <w:lang w:eastAsia="zh-CN" w:bidi="ar"/>
        </w:rPr>
        <w:t>投</w:t>
      </w:r>
      <w:r>
        <w:rPr>
          <w:rFonts w:hint="default" w:asciiTheme="minorEastAsia" w:hAnsiTheme="minorEastAsia" w:cstheme="minorEastAsia"/>
          <w:kern w:val="0"/>
          <w:sz w:val="28"/>
          <w:szCs w:val="28"/>
          <w:lang w:bidi="ar"/>
        </w:rPr>
        <w:t>标</w:t>
      </w:r>
      <w:r>
        <w:rPr>
          <w:rFonts w:hint="eastAsia" w:asciiTheme="minorEastAsia" w:hAnsiTheme="minorEastAsia" w:cstheme="minorEastAsia"/>
          <w:kern w:val="0"/>
          <w:sz w:val="28"/>
          <w:szCs w:val="28"/>
          <w:lang w:bidi="ar"/>
        </w:rPr>
        <w:t>数以公告为准。</w:t>
      </w:r>
    </w:p>
    <w:p>
      <w:pPr>
        <w:widowControl/>
        <w:tabs>
          <w:tab w:val="left" w:pos="630"/>
        </w:tabs>
        <w:ind w:left="-17"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2.船运到港每种产品起始</w:t>
      </w:r>
      <w:r>
        <w:rPr>
          <w:rFonts w:hint="eastAsia" w:asciiTheme="minorEastAsia" w:hAnsiTheme="minorEastAsia" w:cstheme="minorEastAsia"/>
          <w:kern w:val="0"/>
          <w:sz w:val="28"/>
          <w:szCs w:val="28"/>
          <w:lang w:eastAsia="zh-CN"/>
        </w:rPr>
        <w:t>投</w:t>
      </w:r>
      <w:r>
        <w:rPr>
          <w:rFonts w:hint="default" w:asciiTheme="minorEastAsia" w:hAnsiTheme="minorEastAsia" w:cstheme="minorEastAsia"/>
          <w:kern w:val="0"/>
          <w:sz w:val="28"/>
          <w:szCs w:val="28"/>
        </w:rPr>
        <w:t>标</w:t>
      </w:r>
      <w:r>
        <w:rPr>
          <w:rFonts w:hint="eastAsia" w:asciiTheme="minorEastAsia" w:hAnsiTheme="minorEastAsia" w:cstheme="minorEastAsia"/>
          <w:kern w:val="0"/>
          <w:sz w:val="28"/>
          <w:szCs w:val="28"/>
        </w:rPr>
        <w:t>量为1个</w:t>
      </w:r>
      <w:r>
        <w:rPr>
          <w:rFonts w:hint="eastAsia" w:asciiTheme="minorEastAsia" w:hAnsiTheme="minorEastAsia" w:cstheme="minorEastAsia"/>
          <w:kern w:val="0"/>
          <w:sz w:val="28"/>
          <w:szCs w:val="28"/>
          <w:lang w:eastAsia="zh-CN"/>
        </w:rPr>
        <w:t>标的</w:t>
      </w:r>
      <w:r>
        <w:rPr>
          <w:rFonts w:hint="eastAsia" w:asciiTheme="minorEastAsia" w:hAnsiTheme="minorEastAsia" w:cstheme="minorEastAsia"/>
          <w:kern w:val="0"/>
          <w:sz w:val="28"/>
          <w:szCs w:val="28"/>
        </w:rPr>
        <w:t>3万吨，</w:t>
      </w:r>
      <w:r>
        <w:rPr>
          <w:rFonts w:hint="eastAsia" w:asciiTheme="minorEastAsia" w:hAnsiTheme="minorEastAsia" w:cstheme="minorEastAsia"/>
          <w:kern w:val="0"/>
          <w:sz w:val="28"/>
          <w:szCs w:val="28"/>
          <w:lang w:eastAsia="zh-CN"/>
        </w:rPr>
        <w:t>每个投标单位总投</w:t>
      </w:r>
      <w:r>
        <w:rPr>
          <w:rFonts w:hint="default" w:asciiTheme="minorEastAsia" w:hAnsiTheme="minorEastAsia" w:cstheme="minorEastAsia"/>
          <w:kern w:val="0"/>
          <w:sz w:val="28"/>
          <w:szCs w:val="28"/>
        </w:rPr>
        <w:t>标</w:t>
      </w:r>
      <w:r>
        <w:rPr>
          <w:rFonts w:hint="eastAsia" w:asciiTheme="minorEastAsia" w:hAnsiTheme="minorEastAsia" w:cstheme="minorEastAsia"/>
          <w:kern w:val="0"/>
          <w:sz w:val="28"/>
          <w:szCs w:val="28"/>
        </w:rPr>
        <w:t>量不得超过</w:t>
      </w:r>
      <w:r>
        <w:rPr>
          <w:rFonts w:hint="eastAsia" w:asciiTheme="minorEastAsia" w:hAnsiTheme="minorEastAsia" w:cstheme="minorEastAsia"/>
          <w:kern w:val="0"/>
          <w:sz w:val="28"/>
          <w:szCs w:val="28"/>
          <w:lang w:val="en-US" w:eastAsia="zh-CN"/>
        </w:rPr>
        <w:t>2个标的</w:t>
      </w:r>
      <w:r>
        <w:rPr>
          <w:rFonts w:hint="eastAsia" w:asciiTheme="minorEastAsia" w:hAnsiTheme="minorEastAsia" w:cstheme="minorEastAsia"/>
          <w:kern w:val="0"/>
          <w:sz w:val="28"/>
          <w:szCs w:val="28"/>
        </w:rPr>
        <w:t>6万吨 。</w:t>
      </w:r>
    </w:p>
    <w:p>
      <w:pPr>
        <w:spacing w:line="560" w:lineRule="exact"/>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3.</w:t>
      </w:r>
      <w:r>
        <w:rPr>
          <w:rFonts w:hint="eastAsia" w:asciiTheme="minorEastAsia" w:hAnsiTheme="minorEastAsia" w:cstheme="minorEastAsia"/>
          <w:kern w:val="0"/>
          <w:sz w:val="28"/>
          <w:szCs w:val="28"/>
          <w:lang w:eastAsia="zh-CN"/>
        </w:rPr>
        <w:t>投</w:t>
      </w:r>
      <w:r>
        <w:rPr>
          <w:rFonts w:hint="default" w:asciiTheme="minorEastAsia" w:hAnsiTheme="minorEastAsia" w:cstheme="minorEastAsia"/>
          <w:kern w:val="0"/>
          <w:sz w:val="28"/>
          <w:szCs w:val="28"/>
        </w:rPr>
        <w:t>标</w:t>
      </w:r>
      <w:r>
        <w:rPr>
          <w:rFonts w:hint="eastAsia" w:asciiTheme="minorEastAsia" w:hAnsiTheme="minorEastAsia" w:cstheme="minorEastAsia"/>
          <w:kern w:val="0"/>
          <w:sz w:val="28"/>
          <w:szCs w:val="28"/>
        </w:rPr>
        <w:t>人对意向</w:t>
      </w:r>
      <w:r>
        <w:rPr>
          <w:rFonts w:hint="default" w:asciiTheme="minorEastAsia" w:hAnsiTheme="minorEastAsia" w:cstheme="minorEastAsia"/>
          <w:kern w:val="0"/>
          <w:sz w:val="28"/>
          <w:szCs w:val="28"/>
        </w:rPr>
        <w:t>招标</w:t>
      </w:r>
      <w:r>
        <w:rPr>
          <w:rFonts w:hint="eastAsia" w:asciiTheme="minorEastAsia" w:hAnsiTheme="minorEastAsia" w:cstheme="minorEastAsia"/>
          <w:kern w:val="0"/>
          <w:sz w:val="28"/>
          <w:szCs w:val="28"/>
        </w:rPr>
        <w:t>的某一产品只报一个价格，报价保留至小数点后两位数。</w:t>
      </w:r>
    </w:p>
    <w:p>
      <w:pPr>
        <w:widowControl/>
        <w:tabs>
          <w:tab w:val="left" w:pos="630"/>
        </w:tabs>
        <w:ind w:left="-17" w:firstLine="560" w:firstLineChars="200"/>
        <w:jc w:val="left"/>
        <w:rPr>
          <w:rFonts w:asciiTheme="minorEastAsia" w:hAnsiTheme="minorEastAsia" w:cstheme="minorEastAsia"/>
          <w:sz w:val="28"/>
          <w:szCs w:val="28"/>
        </w:rPr>
      </w:pPr>
      <w:r>
        <w:rPr>
          <w:rFonts w:hint="eastAsia" w:asciiTheme="minorEastAsia" w:hAnsiTheme="minorEastAsia" w:cstheme="minorEastAsia"/>
          <w:kern w:val="0"/>
          <w:sz w:val="28"/>
          <w:szCs w:val="28"/>
        </w:rPr>
        <w:t>4.报价单须机打（不得手填），应保持整洁，</w:t>
      </w:r>
      <w:r>
        <w:rPr>
          <w:rFonts w:hint="eastAsia" w:asciiTheme="minorEastAsia" w:hAnsiTheme="minorEastAsia" w:cstheme="minorEastAsia"/>
          <w:sz w:val="28"/>
          <w:szCs w:val="28"/>
        </w:rPr>
        <w:t>不得涂改，否则涂改部分无效</w:t>
      </w:r>
      <w:r>
        <w:rPr>
          <w:rFonts w:hint="eastAsia" w:asciiTheme="minorEastAsia" w:hAnsiTheme="minorEastAsia" w:cstheme="minorEastAsia"/>
          <w:kern w:val="0"/>
          <w:sz w:val="28"/>
          <w:szCs w:val="28"/>
        </w:rPr>
        <w:t>。</w:t>
      </w:r>
    </w:p>
    <w:p>
      <w:pPr>
        <w:widowControl/>
        <w:tabs>
          <w:tab w:val="left" w:pos="630"/>
        </w:tabs>
        <w:ind w:left="-17" w:firstLine="560" w:firstLineChars="200"/>
        <w:jc w:val="left"/>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shd w:val="clear" w:color="auto" w:fill="FFFFFF"/>
        </w:rPr>
        <w:t>5.上述报价均为</w:t>
      </w:r>
      <w:r>
        <w:rPr>
          <w:rFonts w:hint="eastAsia" w:asciiTheme="minorEastAsia" w:hAnsiTheme="minorEastAsia" w:cstheme="minorEastAsia"/>
          <w:sz w:val="28"/>
          <w:szCs w:val="28"/>
          <w:shd w:val="clear" w:color="auto" w:fill="FFFFFF"/>
          <w:lang w:val="en-US" w:eastAsia="zh-CN"/>
        </w:rPr>
        <w:t>1</w:t>
      </w:r>
      <w:r>
        <w:rPr>
          <w:rFonts w:hint="eastAsia" w:asciiTheme="minorEastAsia" w:hAnsiTheme="minorEastAsia" w:cstheme="minorEastAsia"/>
          <w:sz w:val="28"/>
          <w:szCs w:val="28"/>
          <w:shd w:val="clear" w:color="auto" w:fill="FFFFFF"/>
        </w:rPr>
        <w:t>3%税率含税单价</w:t>
      </w:r>
      <w:r>
        <w:rPr>
          <w:rFonts w:hint="eastAsia" w:asciiTheme="minorEastAsia" w:hAnsiTheme="minorEastAsia" w:cstheme="minorEastAsia"/>
          <w:sz w:val="28"/>
          <w:szCs w:val="28"/>
          <w:shd w:val="clear" w:color="auto" w:fill="FFFFFF"/>
          <w:lang w:eastAsia="zh-CN"/>
        </w:rPr>
        <w:t>。</w:t>
      </w:r>
    </w:p>
    <w:p>
      <w:pPr>
        <w:spacing w:line="520" w:lineRule="exact"/>
        <w:ind w:firstLine="361" w:firstLineChars="100"/>
        <w:rPr>
          <w:rFonts w:hint="eastAsia" w:ascii="黑体" w:hAnsi="黑体" w:eastAsia="黑体" w:cs="黑体"/>
          <w:b/>
          <w:bCs/>
          <w:sz w:val="36"/>
          <w:szCs w:val="36"/>
        </w:rPr>
      </w:pPr>
    </w:p>
    <w:p>
      <w:pPr>
        <w:spacing w:line="520" w:lineRule="exact"/>
        <w:ind w:firstLine="361" w:firstLineChars="100"/>
        <w:rPr>
          <w:rFonts w:hint="eastAsia" w:ascii="黑体" w:hAnsi="黑体" w:eastAsia="黑体" w:cs="黑体"/>
          <w:b/>
          <w:bCs/>
          <w:sz w:val="36"/>
          <w:szCs w:val="36"/>
        </w:rPr>
      </w:pPr>
    </w:p>
    <w:p>
      <w:pPr>
        <w:spacing w:line="520" w:lineRule="exact"/>
        <w:ind w:firstLine="361" w:firstLineChars="100"/>
        <w:rPr>
          <w:rFonts w:hint="eastAsia" w:ascii="黑体" w:hAnsi="黑体" w:eastAsia="黑体" w:cs="黑体"/>
          <w:b/>
          <w:bCs/>
          <w:sz w:val="36"/>
          <w:szCs w:val="36"/>
        </w:rPr>
      </w:pPr>
    </w:p>
    <w:p>
      <w:pPr>
        <w:spacing w:line="520" w:lineRule="exact"/>
        <w:ind w:firstLine="361" w:firstLineChars="100"/>
        <w:rPr>
          <w:rFonts w:hint="eastAsia" w:ascii="黑体" w:hAnsi="黑体" w:eastAsia="黑体" w:cs="黑体"/>
          <w:b/>
          <w:bCs/>
          <w:sz w:val="36"/>
          <w:szCs w:val="36"/>
        </w:rPr>
      </w:pPr>
    </w:p>
    <w:p>
      <w:pPr>
        <w:spacing w:line="520" w:lineRule="exact"/>
        <w:ind w:firstLine="361" w:firstLineChars="100"/>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rPr>
        <w:t>南京中联混凝土有限公司</w:t>
      </w:r>
    </w:p>
    <w:p>
      <w:pPr>
        <w:spacing w:line="520" w:lineRule="exact"/>
        <w:jc w:val="center"/>
        <w:rPr>
          <w:rFonts w:ascii="黑体" w:hAnsi="黑体" w:eastAsia="黑体" w:cs="黑体"/>
          <w:b/>
          <w:bCs/>
          <w:sz w:val="36"/>
          <w:szCs w:val="36"/>
        </w:rPr>
      </w:pPr>
      <w:r>
        <w:rPr>
          <w:rFonts w:hint="eastAsia" w:ascii="黑体" w:hAnsi="黑体" w:eastAsia="黑体" w:cs="黑体"/>
          <w:b/>
          <w:bCs/>
          <w:sz w:val="36"/>
          <w:szCs w:val="36"/>
        </w:rPr>
        <w:t>ZLSS-</w:t>
      </w:r>
      <w:r>
        <w:rPr>
          <w:rFonts w:hint="default" w:ascii="黑体" w:hAnsi="黑体" w:eastAsia="黑体" w:cs="黑体"/>
          <w:b/>
          <w:bCs/>
          <w:sz w:val="36"/>
          <w:szCs w:val="36"/>
        </w:rPr>
        <w:t>2023</w:t>
      </w:r>
      <w:r>
        <w:rPr>
          <w:rFonts w:hint="eastAsia" w:ascii="黑体" w:hAnsi="黑体" w:eastAsia="黑体" w:cs="黑体"/>
          <w:b/>
          <w:bCs/>
          <w:sz w:val="36"/>
          <w:szCs w:val="36"/>
        </w:rPr>
        <w:t>-</w:t>
      </w:r>
      <w:r>
        <w:rPr>
          <w:rFonts w:hint="eastAsia" w:ascii="黑体" w:hAnsi="黑体" w:eastAsia="黑体" w:cs="黑体"/>
          <w:b/>
          <w:bCs/>
          <w:sz w:val="36"/>
          <w:szCs w:val="36"/>
          <w:u w:val="single"/>
        </w:rPr>
        <w:t xml:space="preserve"> 00</w:t>
      </w:r>
      <w:r>
        <w:rPr>
          <w:rFonts w:hint="eastAsia" w:ascii="黑体" w:hAnsi="黑体" w:eastAsia="黑体" w:cs="黑体"/>
          <w:b/>
          <w:bCs/>
          <w:sz w:val="36"/>
          <w:szCs w:val="36"/>
          <w:u w:val="single"/>
          <w:lang w:val="en-US" w:eastAsia="zh-CN"/>
        </w:rPr>
        <w:t>6</w:t>
      </w:r>
      <w:r>
        <w:rPr>
          <w:rFonts w:hint="eastAsia" w:ascii="黑体" w:hAnsi="黑体" w:eastAsia="黑体" w:cs="黑体"/>
          <w:b/>
          <w:bCs/>
          <w:sz w:val="36"/>
          <w:szCs w:val="36"/>
        </w:rPr>
        <w:t>期</w:t>
      </w:r>
    </w:p>
    <w:p>
      <w:pPr>
        <w:spacing w:line="52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rPr>
        <w:t>（到港）采购</w:t>
      </w:r>
      <w:r>
        <w:rPr>
          <w:rFonts w:hint="eastAsia" w:ascii="黑体" w:hAnsi="黑体" w:eastAsia="黑体" w:cs="黑体"/>
          <w:b/>
          <w:bCs/>
          <w:sz w:val="36"/>
          <w:szCs w:val="36"/>
          <w:lang w:eastAsia="zh-CN"/>
        </w:rPr>
        <w:t>招</w:t>
      </w:r>
      <w:r>
        <w:rPr>
          <w:rFonts w:hint="eastAsia" w:ascii="黑体" w:hAnsi="黑体" w:eastAsia="黑体" w:cs="黑体"/>
          <w:b/>
          <w:bCs/>
          <w:sz w:val="36"/>
          <w:szCs w:val="36"/>
        </w:rPr>
        <w:t>标报价单</w:t>
      </w:r>
      <w:r>
        <w:rPr>
          <w:rFonts w:hint="eastAsia" w:ascii="黑体" w:hAnsi="黑体" w:eastAsia="黑体" w:cs="黑体"/>
          <w:b/>
          <w:bCs/>
          <w:sz w:val="36"/>
          <w:szCs w:val="36"/>
          <w:lang w:eastAsia="zh-CN"/>
        </w:rPr>
        <w:t>（正本）</w:t>
      </w:r>
    </w:p>
    <w:p>
      <w:pPr>
        <w:widowControl/>
        <w:rPr>
          <w:rFonts w:cs="宋体" w:asciiTheme="minorEastAsia" w:hAnsiTheme="minorEastAsia"/>
          <w:b/>
          <w:bCs/>
          <w:kern w:val="0"/>
          <w:sz w:val="24"/>
        </w:rPr>
      </w:pPr>
    </w:p>
    <w:tbl>
      <w:tblPr>
        <w:tblStyle w:val="1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776"/>
        <w:gridCol w:w="897"/>
        <w:gridCol w:w="1081"/>
        <w:gridCol w:w="2660"/>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9333" w:type="dxa"/>
            <w:gridSpan w:val="6"/>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b/>
                <w:kern w:val="0"/>
                <w:sz w:val="24"/>
                <w:szCs w:val="24"/>
              </w:rPr>
            </w:pPr>
            <w:r>
              <w:rPr>
                <w:rFonts w:hint="default" w:cs="宋体" w:asciiTheme="minorEastAsia" w:hAnsiTheme="minorEastAsia"/>
                <w:b/>
                <w:kern w:val="0"/>
                <w:sz w:val="24"/>
                <w:szCs w:val="24"/>
              </w:rPr>
              <w:t>招标</w:t>
            </w:r>
            <w:r>
              <w:rPr>
                <w:rFonts w:hint="eastAsia" w:cs="宋体" w:asciiTheme="minorEastAsia" w:hAnsiTheme="minorEastAsia"/>
                <w:b/>
                <w:kern w:val="0"/>
                <w:sz w:val="24"/>
                <w:szCs w:val="24"/>
              </w:rPr>
              <w:t>人发票税率</w:t>
            </w:r>
            <w:r>
              <w:rPr>
                <w:rFonts w:hint="eastAsia" w:cs="宋体" w:asciiTheme="minorEastAsia" w:hAnsiTheme="minorEastAsia"/>
                <w:b/>
                <w:kern w:val="0"/>
                <w:sz w:val="24"/>
                <w:szCs w:val="24"/>
                <w:lang w:eastAsia="zh-CN"/>
              </w:rPr>
              <w:t>（</w:t>
            </w:r>
            <w:r>
              <w:rPr>
                <w:rFonts w:hint="eastAsia" w:cs="宋体" w:asciiTheme="minorEastAsia" w:hAnsiTheme="minorEastAsia"/>
                <w:b/>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637"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b/>
                <w:bCs/>
                <w:sz w:val="24"/>
                <w:szCs w:val="24"/>
              </w:rPr>
              <w:t>材料名称</w:t>
            </w:r>
          </w:p>
        </w:tc>
        <w:tc>
          <w:tcPr>
            <w:tcW w:w="1776"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b/>
                <w:bCs/>
                <w:sz w:val="24"/>
                <w:szCs w:val="24"/>
              </w:rPr>
              <w:t>规格型号</w:t>
            </w:r>
          </w:p>
        </w:tc>
        <w:tc>
          <w:tcPr>
            <w:tcW w:w="897"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kern w:val="0"/>
                <w:sz w:val="24"/>
                <w:szCs w:val="24"/>
              </w:rPr>
              <w:t>交付方式</w:t>
            </w:r>
          </w:p>
        </w:tc>
        <w:tc>
          <w:tcPr>
            <w:tcW w:w="1081"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bCs/>
                <w:sz w:val="24"/>
                <w:szCs w:val="24"/>
              </w:rPr>
              <w:t>交付地点</w:t>
            </w:r>
          </w:p>
        </w:tc>
        <w:tc>
          <w:tcPr>
            <w:tcW w:w="2660" w:type="dxa"/>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default" w:cs="宋体" w:asciiTheme="minorEastAsia" w:hAnsiTheme="minorEastAsia"/>
                <w:b/>
                <w:kern w:val="0"/>
                <w:sz w:val="24"/>
                <w:szCs w:val="24"/>
              </w:rPr>
              <w:t>招标</w:t>
            </w:r>
            <w:r>
              <w:rPr>
                <w:rFonts w:hint="eastAsia" w:cs="宋体" w:asciiTheme="minorEastAsia" w:hAnsiTheme="minorEastAsia"/>
                <w:b/>
                <w:kern w:val="0"/>
                <w:sz w:val="24"/>
                <w:szCs w:val="24"/>
              </w:rPr>
              <w:t>数量</w:t>
            </w: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kern w:val="0"/>
                <w:sz w:val="24"/>
                <w:szCs w:val="24"/>
              </w:rPr>
              <w:t>含税单价（元/吨）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 w:val="24"/>
                <w:szCs w:val="24"/>
              </w:rPr>
              <w:t>水洗机制砂</w:t>
            </w:r>
          </w:p>
        </w:tc>
        <w:tc>
          <w:tcPr>
            <w:tcW w:w="17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Cs w:val="21"/>
              </w:rPr>
              <w:t>2.8～3.7mm</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 w:val="24"/>
                <w:szCs w:val="24"/>
              </w:rPr>
              <w:t>到港</w:t>
            </w:r>
          </w:p>
        </w:tc>
        <w:tc>
          <w:tcPr>
            <w:tcW w:w="108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exact"/>
              <w:ind w:left="0" w:right="0"/>
              <w:jc w:val="center"/>
              <w:rPr>
                <w:rFonts w:hint="default" w:cs="宋体" w:asciiTheme="minorEastAsia" w:hAnsiTheme="minorEastAsia"/>
                <w:sz w:val="24"/>
                <w:szCs w:val="24"/>
              </w:rPr>
            </w:pPr>
            <w:r>
              <w:rPr>
                <w:rFonts w:hint="eastAsia" w:cs="宋体" w:asciiTheme="minorEastAsia" w:hAnsiTheme="minorEastAsia"/>
                <w:sz w:val="24"/>
                <w:szCs w:val="24"/>
              </w:rPr>
              <w:t>各码头</w:t>
            </w:r>
          </w:p>
        </w:tc>
        <w:tc>
          <w:tcPr>
            <w:tcW w:w="26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default" w:cs="宋体" w:asciiTheme="minorEastAsia" w:hAnsiTheme="minorEastAsia"/>
                <w:sz w:val="24"/>
                <w:szCs w:val="24"/>
              </w:rPr>
              <w:t>招标</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个，共</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万吨</w:t>
            </w:r>
          </w:p>
        </w:tc>
        <w:tc>
          <w:tcPr>
            <w:tcW w:w="12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kern w:val="0"/>
                <w:sz w:val="24"/>
                <w:szCs w:val="24"/>
                <w:lang w:val="en-US" w:eastAsia="zh-CN"/>
              </w:rPr>
            </w:pPr>
          </w:p>
        </w:tc>
      </w:tr>
    </w:tbl>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r>
        <w:rPr>
          <w:rFonts w:hint="eastAsia"/>
          <w:b/>
          <w:bCs/>
          <w:sz w:val="24"/>
          <w:szCs w:val="24"/>
        </w:rPr>
        <w:t>竞 标 人：</w:t>
      </w:r>
      <w:r>
        <w:rPr>
          <w:rFonts w:hint="eastAsia"/>
          <w:b/>
          <w:bCs/>
          <w:sz w:val="24"/>
          <w:szCs w:val="24"/>
          <w:u w:val="single"/>
        </w:rPr>
        <w:t xml:space="preserve"> </w:t>
      </w:r>
      <w:r>
        <w:rPr>
          <w:rFonts w:hint="eastAsia"/>
          <w:b/>
          <w:bCs/>
          <w:sz w:val="24"/>
          <w:szCs w:val="24"/>
          <w:u w:val="single"/>
          <w:lang w:val="en-US" w:eastAsia="zh-CN"/>
        </w:rPr>
        <w:t xml:space="preserve">                         </w:t>
      </w:r>
      <w:r>
        <w:rPr>
          <w:rFonts w:hint="eastAsia"/>
          <w:b/>
          <w:bCs/>
          <w:sz w:val="24"/>
          <w:szCs w:val="24"/>
          <w:u w:val="single"/>
        </w:rPr>
        <w:t xml:space="preserve"> </w:t>
      </w:r>
      <w:r>
        <w:rPr>
          <w:rFonts w:hint="eastAsia"/>
          <w:b/>
          <w:bCs/>
          <w:sz w:val="24"/>
          <w:szCs w:val="24"/>
        </w:rPr>
        <w:t xml:space="preserve">（盖单位章） </w:t>
      </w:r>
    </w:p>
    <w:p>
      <w:pPr>
        <w:spacing w:line="360" w:lineRule="auto"/>
        <w:rPr>
          <w:b/>
          <w:bCs/>
          <w:sz w:val="24"/>
          <w:szCs w:val="24"/>
        </w:rPr>
      </w:pPr>
    </w:p>
    <w:p>
      <w:pPr>
        <w:spacing w:line="360" w:lineRule="auto"/>
        <w:rPr>
          <w:b/>
          <w:bCs/>
          <w:sz w:val="24"/>
          <w:szCs w:val="24"/>
        </w:rPr>
      </w:pPr>
      <w:r>
        <w:rPr>
          <w:rFonts w:hint="eastAsia"/>
          <w:b/>
          <w:bCs/>
          <w:sz w:val="24"/>
          <w:szCs w:val="24"/>
        </w:rPr>
        <w:t>法定代表人或其委托代理人：</w:t>
      </w:r>
      <w:r>
        <w:rPr>
          <w:rFonts w:hint="eastAsia"/>
          <w:b/>
          <w:bCs/>
          <w:sz w:val="24"/>
          <w:szCs w:val="24"/>
          <w:u w:val="single"/>
        </w:rPr>
        <w:t xml:space="preserve">               </w:t>
      </w:r>
      <w:r>
        <w:rPr>
          <w:rFonts w:hint="eastAsia"/>
          <w:b/>
          <w:bCs/>
          <w:sz w:val="24"/>
          <w:szCs w:val="24"/>
        </w:rPr>
        <w:t xml:space="preserve">（签名） </w:t>
      </w:r>
    </w:p>
    <w:p>
      <w:pPr>
        <w:spacing w:line="360" w:lineRule="auto"/>
        <w:jc w:val="left"/>
        <w:rPr>
          <w:b/>
          <w:bCs/>
          <w:sz w:val="24"/>
          <w:szCs w:val="24"/>
        </w:rPr>
      </w:pPr>
    </w:p>
    <w:p>
      <w:pPr>
        <w:spacing w:line="360" w:lineRule="auto"/>
        <w:jc w:val="left"/>
        <w:rPr>
          <w:sz w:val="24"/>
          <w:szCs w:val="24"/>
        </w:rPr>
      </w:pPr>
      <w:r>
        <w:rPr>
          <w:rFonts w:hint="eastAsia"/>
          <w:b/>
          <w:bCs/>
          <w:sz w:val="24"/>
          <w:szCs w:val="24"/>
        </w:rPr>
        <w:t>日期：</w:t>
      </w:r>
      <w:r>
        <w:rPr>
          <w:rFonts w:hint="default" w:ascii="宋体" w:hAnsi="宋体" w:eastAsia="宋体" w:cs="宋体"/>
          <w:b/>
          <w:bCs/>
          <w:sz w:val="24"/>
          <w:szCs w:val="24"/>
        </w:rPr>
        <w:t>2023</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p>
    <w:p/>
    <w:p/>
    <w:p>
      <w:pPr>
        <w:spacing w:line="360" w:lineRule="auto"/>
        <w:jc w:val="left"/>
        <w:rPr>
          <w:sz w:val="24"/>
          <w:szCs w:val="24"/>
        </w:rPr>
      </w:pPr>
    </w:p>
    <w:p>
      <w:pPr>
        <w:rPr>
          <w:rFonts w:asciiTheme="minorEastAsia" w:hAnsiTheme="minorEastAsia" w:cstheme="minorEastAsia"/>
          <w:sz w:val="28"/>
          <w:szCs w:val="28"/>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rPr>
      </w:pPr>
    </w:p>
    <w:p>
      <w:pPr>
        <w:spacing w:line="520" w:lineRule="exact"/>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rPr>
        <w:t>南京中联混凝土有限公司</w:t>
      </w:r>
    </w:p>
    <w:p>
      <w:pPr>
        <w:spacing w:line="520" w:lineRule="exact"/>
        <w:jc w:val="center"/>
        <w:rPr>
          <w:rFonts w:ascii="黑体" w:hAnsi="黑体" w:eastAsia="黑体" w:cs="黑体"/>
          <w:b/>
          <w:bCs/>
          <w:sz w:val="36"/>
          <w:szCs w:val="36"/>
        </w:rPr>
      </w:pPr>
      <w:r>
        <w:rPr>
          <w:rFonts w:hint="eastAsia" w:ascii="黑体" w:hAnsi="黑体" w:eastAsia="黑体" w:cs="黑体"/>
          <w:b/>
          <w:bCs/>
          <w:sz w:val="36"/>
          <w:szCs w:val="36"/>
        </w:rPr>
        <w:t>ZLSS-</w:t>
      </w:r>
      <w:r>
        <w:rPr>
          <w:rFonts w:hint="default" w:ascii="黑体" w:hAnsi="黑体" w:eastAsia="黑体" w:cs="黑体"/>
          <w:b/>
          <w:bCs/>
          <w:sz w:val="36"/>
          <w:szCs w:val="36"/>
        </w:rPr>
        <w:t>2023</w:t>
      </w:r>
      <w:r>
        <w:rPr>
          <w:rFonts w:hint="eastAsia" w:ascii="黑体" w:hAnsi="黑体" w:eastAsia="黑体" w:cs="黑体"/>
          <w:b/>
          <w:bCs/>
          <w:sz w:val="36"/>
          <w:szCs w:val="36"/>
        </w:rPr>
        <w:t>-</w:t>
      </w:r>
      <w:r>
        <w:rPr>
          <w:rFonts w:hint="eastAsia" w:ascii="黑体" w:hAnsi="黑体" w:eastAsia="黑体" w:cs="黑体"/>
          <w:b/>
          <w:bCs/>
          <w:sz w:val="36"/>
          <w:szCs w:val="36"/>
          <w:u w:val="single"/>
        </w:rPr>
        <w:t xml:space="preserve"> 00</w:t>
      </w:r>
      <w:r>
        <w:rPr>
          <w:rFonts w:hint="eastAsia" w:ascii="黑体" w:hAnsi="黑体" w:eastAsia="黑体" w:cs="黑体"/>
          <w:b/>
          <w:bCs/>
          <w:sz w:val="36"/>
          <w:szCs w:val="36"/>
          <w:u w:val="single"/>
          <w:lang w:val="en-US" w:eastAsia="zh-CN"/>
        </w:rPr>
        <w:t>6</w:t>
      </w:r>
      <w:bookmarkStart w:id="6" w:name="_GoBack"/>
      <w:bookmarkEnd w:id="6"/>
      <w:r>
        <w:rPr>
          <w:rFonts w:hint="eastAsia" w:ascii="黑体" w:hAnsi="黑体" w:eastAsia="黑体" w:cs="黑体"/>
          <w:b/>
          <w:bCs/>
          <w:sz w:val="36"/>
          <w:szCs w:val="36"/>
        </w:rPr>
        <w:t>期</w:t>
      </w:r>
    </w:p>
    <w:p>
      <w:pPr>
        <w:spacing w:line="520" w:lineRule="exact"/>
        <w:jc w:val="center"/>
        <w:rPr>
          <w:rFonts w:hint="eastAsia" w:ascii="黑体" w:hAnsi="黑体" w:eastAsia="黑体" w:cs="黑体"/>
          <w:b/>
          <w:bCs/>
          <w:sz w:val="36"/>
          <w:szCs w:val="36"/>
          <w:lang w:eastAsia="zh-CN"/>
        </w:rPr>
      </w:pPr>
      <w:r>
        <w:rPr>
          <w:rFonts w:hint="eastAsia" w:ascii="黑体" w:hAnsi="黑体" w:eastAsia="黑体" w:cs="黑体"/>
          <w:b/>
          <w:bCs/>
          <w:sz w:val="36"/>
          <w:szCs w:val="36"/>
        </w:rPr>
        <w:t>（到港）采购</w:t>
      </w:r>
      <w:r>
        <w:rPr>
          <w:rFonts w:hint="eastAsia" w:ascii="黑体" w:hAnsi="黑体" w:eastAsia="黑体" w:cs="黑体"/>
          <w:b/>
          <w:bCs/>
          <w:sz w:val="36"/>
          <w:szCs w:val="36"/>
          <w:lang w:eastAsia="zh-CN"/>
        </w:rPr>
        <w:t>招</w:t>
      </w:r>
      <w:r>
        <w:rPr>
          <w:rFonts w:hint="eastAsia" w:ascii="黑体" w:hAnsi="黑体" w:eastAsia="黑体" w:cs="黑体"/>
          <w:b/>
          <w:bCs/>
          <w:sz w:val="36"/>
          <w:szCs w:val="36"/>
        </w:rPr>
        <w:t>标报价单</w:t>
      </w:r>
      <w:r>
        <w:rPr>
          <w:rFonts w:hint="eastAsia" w:ascii="黑体" w:hAnsi="黑体" w:eastAsia="黑体" w:cs="黑体"/>
          <w:b/>
          <w:bCs/>
          <w:sz w:val="36"/>
          <w:szCs w:val="36"/>
          <w:lang w:eastAsia="zh-CN"/>
        </w:rPr>
        <w:t>（副本）</w:t>
      </w:r>
    </w:p>
    <w:p>
      <w:pPr>
        <w:widowControl/>
        <w:rPr>
          <w:rFonts w:cs="宋体" w:asciiTheme="minorEastAsia" w:hAnsiTheme="minorEastAsia"/>
          <w:b/>
          <w:bCs/>
          <w:kern w:val="0"/>
          <w:sz w:val="24"/>
        </w:rPr>
      </w:pPr>
    </w:p>
    <w:tbl>
      <w:tblPr>
        <w:tblStyle w:val="11"/>
        <w:tblW w:w="5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1398"/>
        <w:gridCol w:w="924"/>
        <w:gridCol w:w="1030"/>
        <w:gridCol w:w="2726"/>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000" w:type="pct"/>
            <w:gridSpan w:val="6"/>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b/>
                <w:kern w:val="0"/>
                <w:sz w:val="24"/>
                <w:szCs w:val="24"/>
              </w:rPr>
            </w:pPr>
            <w:r>
              <w:rPr>
                <w:rFonts w:hint="default" w:cs="宋体" w:asciiTheme="minorEastAsia" w:hAnsiTheme="minorEastAsia"/>
                <w:b/>
                <w:kern w:val="0"/>
                <w:sz w:val="24"/>
                <w:szCs w:val="24"/>
              </w:rPr>
              <w:t>招标</w:t>
            </w:r>
            <w:r>
              <w:rPr>
                <w:rFonts w:hint="eastAsia" w:cs="宋体" w:asciiTheme="minorEastAsia" w:hAnsiTheme="minorEastAsia"/>
                <w:b/>
                <w:kern w:val="0"/>
                <w:sz w:val="24"/>
                <w:szCs w:val="24"/>
              </w:rPr>
              <w:t>人发票税率</w:t>
            </w:r>
            <w:r>
              <w:rPr>
                <w:rFonts w:hint="eastAsia" w:cs="宋体" w:asciiTheme="minorEastAsia" w:hAnsiTheme="minorEastAsia"/>
                <w:b/>
                <w:kern w:val="0"/>
                <w:sz w:val="24"/>
                <w:szCs w:val="24"/>
                <w:lang w:eastAsia="zh-CN"/>
              </w:rPr>
              <w:t>（</w:t>
            </w:r>
            <w:r>
              <w:rPr>
                <w:rFonts w:hint="eastAsia" w:cs="宋体" w:asciiTheme="minorEastAsia" w:hAnsiTheme="minorEastAsia"/>
                <w:b/>
                <w:kern w:val="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25" w:type="pc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b/>
                <w:bCs/>
                <w:sz w:val="24"/>
                <w:szCs w:val="24"/>
              </w:rPr>
              <w:t>材料名称</w:t>
            </w:r>
          </w:p>
        </w:tc>
        <w:tc>
          <w:tcPr>
            <w:tcW w:w="790" w:type="pc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b/>
                <w:bCs/>
                <w:sz w:val="24"/>
                <w:szCs w:val="24"/>
              </w:rPr>
              <w:t>规格型号</w:t>
            </w:r>
          </w:p>
        </w:tc>
        <w:tc>
          <w:tcPr>
            <w:tcW w:w="522" w:type="pc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kern w:val="0"/>
                <w:sz w:val="24"/>
                <w:szCs w:val="24"/>
              </w:rPr>
              <w:t>交付方式</w:t>
            </w:r>
          </w:p>
        </w:tc>
        <w:tc>
          <w:tcPr>
            <w:tcW w:w="582" w:type="pc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bCs/>
                <w:sz w:val="24"/>
                <w:szCs w:val="24"/>
              </w:rPr>
              <w:t>交付地点</w:t>
            </w:r>
          </w:p>
        </w:tc>
        <w:tc>
          <w:tcPr>
            <w:tcW w:w="1541" w:type="pc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default" w:cs="宋体" w:asciiTheme="minorEastAsia" w:hAnsiTheme="minorEastAsia"/>
                <w:b/>
                <w:kern w:val="0"/>
                <w:sz w:val="24"/>
                <w:szCs w:val="24"/>
              </w:rPr>
              <w:t>招标</w:t>
            </w:r>
            <w:r>
              <w:rPr>
                <w:rFonts w:hint="eastAsia" w:cs="宋体" w:asciiTheme="minorEastAsia" w:hAnsiTheme="minorEastAsia"/>
                <w:b/>
                <w:kern w:val="0"/>
                <w:sz w:val="24"/>
                <w:szCs w:val="24"/>
              </w:rPr>
              <w:t>数量</w:t>
            </w:r>
          </w:p>
        </w:tc>
        <w:tc>
          <w:tcPr>
            <w:tcW w:w="73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b/>
                <w:kern w:val="0"/>
                <w:sz w:val="24"/>
                <w:szCs w:val="24"/>
              </w:rPr>
            </w:pPr>
            <w:r>
              <w:rPr>
                <w:rFonts w:hint="eastAsia" w:cs="宋体" w:asciiTheme="minorEastAsia" w:hAnsiTheme="minorEastAsia"/>
                <w:b/>
                <w:kern w:val="0"/>
                <w:sz w:val="24"/>
                <w:szCs w:val="24"/>
              </w:rPr>
              <w:t>含税单价（元/吨）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8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 w:val="24"/>
                <w:szCs w:val="24"/>
              </w:rPr>
              <w:t>水洗机制砂</w:t>
            </w:r>
          </w:p>
        </w:tc>
        <w:tc>
          <w:tcPr>
            <w:tcW w:w="79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Cs w:val="21"/>
              </w:rPr>
              <w:t>2.8～3.7mm</w:t>
            </w:r>
          </w:p>
        </w:tc>
        <w:tc>
          <w:tcPr>
            <w:tcW w:w="52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eastAsia" w:cs="宋体" w:asciiTheme="minorEastAsia" w:hAnsiTheme="minorEastAsia"/>
                <w:sz w:val="24"/>
                <w:szCs w:val="24"/>
              </w:rPr>
              <w:t>到港</w:t>
            </w:r>
          </w:p>
        </w:tc>
        <w:tc>
          <w:tcPr>
            <w:tcW w:w="58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00" w:lineRule="exact"/>
              <w:ind w:left="0" w:right="0"/>
              <w:jc w:val="center"/>
              <w:rPr>
                <w:rFonts w:hint="default" w:cs="宋体" w:asciiTheme="minorEastAsia" w:hAnsiTheme="minorEastAsia"/>
                <w:sz w:val="24"/>
                <w:szCs w:val="24"/>
              </w:rPr>
            </w:pPr>
            <w:r>
              <w:rPr>
                <w:rFonts w:hint="eastAsia" w:cs="宋体" w:asciiTheme="minorEastAsia" w:hAnsiTheme="minorEastAsia"/>
                <w:sz w:val="24"/>
                <w:szCs w:val="24"/>
              </w:rPr>
              <w:t>各码头</w:t>
            </w:r>
          </w:p>
        </w:tc>
        <w:tc>
          <w:tcPr>
            <w:tcW w:w="154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sz w:val="24"/>
                <w:szCs w:val="24"/>
              </w:rPr>
            </w:pPr>
            <w:r>
              <w:rPr>
                <w:rFonts w:hint="default" w:cs="宋体" w:asciiTheme="minorEastAsia" w:hAnsiTheme="minorEastAsia"/>
                <w:sz w:val="24"/>
                <w:szCs w:val="24"/>
              </w:rPr>
              <w:t>招标</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个，共</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万吨</w:t>
            </w:r>
          </w:p>
        </w:tc>
        <w:tc>
          <w:tcPr>
            <w:tcW w:w="73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cs="宋体" w:asciiTheme="minorEastAsia" w:hAnsiTheme="minorEastAsia" w:eastAsiaTheme="minorEastAsia"/>
                <w:kern w:val="0"/>
                <w:sz w:val="24"/>
                <w:szCs w:val="24"/>
                <w:lang w:val="en-US" w:eastAsia="zh-CN"/>
              </w:rPr>
            </w:pPr>
          </w:p>
        </w:tc>
      </w:tr>
    </w:tbl>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b/>
          <w:bCs/>
          <w:sz w:val="24"/>
          <w:szCs w:val="24"/>
        </w:rPr>
      </w:pPr>
    </w:p>
    <w:p>
      <w:pPr>
        <w:spacing w:line="360" w:lineRule="auto"/>
        <w:rPr>
          <w:rFonts w:hint="eastAsia"/>
          <w:b/>
          <w:bCs/>
          <w:sz w:val="24"/>
          <w:szCs w:val="24"/>
        </w:rPr>
      </w:pPr>
    </w:p>
    <w:p>
      <w:pPr>
        <w:spacing w:line="360" w:lineRule="auto"/>
        <w:rPr>
          <w:rFonts w:hint="eastAsia"/>
          <w:b/>
          <w:bCs/>
          <w:sz w:val="24"/>
          <w:szCs w:val="24"/>
        </w:rPr>
      </w:pPr>
    </w:p>
    <w:p>
      <w:pPr>
        <w:spacing w:line="360" w:lineRule="auto"/>
        <w:rPr>
          <w:b/>
          <w:bCs/>
          <w:sz w:val="24"/>
          <w:szCs w:val="24"/>
        </w:rPr>
      </w:pPr>
      <w:r>
        <w:rPr>
          <w:rFonts w:hint="eastAsia"/>
          <w:b/>
          <w:bCs/>
          <w:sz w:val="24"/>
          <w:szCs w:val="24"/>
        </w:rPr>
        <w:t>竞 标 人：</w:t>
      </w:r>
      <w:r>
        <w:rPr>
          <w:rFonts w:hint="eastAsia"/>
          <w:b/>
          <w:bCs/>
          <w:sz w:val="24"/>
          <w:szCs w:val="24"/>
          <w:u w:val="single"/>
        </w:rPr>
        <w:t xml:space="preserve"> </w:t>
      </w:r>
      <w:r>
        <w:rPr>
          <w:rFonts w:hint="eastAsia"/>
          <w:b/>
          <w:bCs/>
          <w:sz w:val="24"/>
          <w:szCs w:val="24"/>
          <w:u w:val="single"/>
          <w:lang w:val="en-US" w:eastAsia="zh-CN"/>
        </w:rPr>
        <w:t xml:space="preserve">                         </w:t>
      </w:r>
      <w:r>
        <w:rPr>
          <w:rFonts w:hint="eastAsia"/>
          <w:b/>
          <w:bCs/>
          <w:sz w:val="24"/>
          <w:szCs w:val="24"/>
          <w:u w:val="single"/>
        </w:rPr>
        <w:t xml:space="preserve"> </w:t>
      </w:r>
      <w:r>
        <w:rPr>
          <w:rFonts w:hint="eastAsia"/>
          <w:b/>
          <w:bCs/>
          <w:sz w:val="24"/>
          <w:szCs w:val="24"/>
        </w:rPr>
        <w:t xml:space="preserve">（盖单位章） </w:t>
      </w:r>
    </w:p>
    <w:p>
      <w:pPr>
        <w:spacing w:line="360" w:lineRule="auto"/>
        <w:rPr>
          <w:b/>
          <w:bCs/>
          <w:sz w:val="24"/>
          <w:szCs w:val="24"/>
        </w:rPr>
      </w:pPr>
    </w:p>
    <w:p>
      <w:pPr>
        <w:spacing w:line="360" w:lineRule="auto"/>
        <w:rPr>
          <w:b/>
          <w:bCs/>
          <w:sz w:val="24"/>
          <w:szCs w:val="24"/>
        </w:rPr>
      </w:pPr>
      <w:r>
        <w:rPr>
          <w:rFonts w:hint="eastAsia"/>
          <w:b/>
          <w:bCs/>
          <w:sz w:val="24"/>
          <w:szCs w:val="24"/>
        </w:rPr>
        <w:t>法定代表人或其委托代理人：</w:t>
      </w:r>
      <w:r>
        <w:rPr>
          <w:rFonts w:hint="eastAsia"/>
          <w:b/>
          <w:bCs/>
          <w:sz w:val="24"/>
          <w:szCs w:val="24"/>
          <w:u w:val="single"/>
        </w:rPr>
        <w:t xml:space="preserve">               </w:t>
      </w:r>
      <w:r>
        <w:rPr>
          <w:rFonts w:hint="eastAsia"/>
          <w:b/>
          <w:bCs/>
          <w:sz w:val="24"/>
          <w:szCs w:val="24"/>
        </w:rPr>
        <w:t xml:space="preserve">（签名） </w:t>
      </w:r>
    </w:p>
    <w:p>
      <w:pPr>
        <w:spacing w:line="360" w:lineRule="auto"/>
        <w:jc w:val="left"/>
        <w:rPr>
          <w:b/>
          <w:bCs/>
          <w:sz w:val="24"/>
          <w:szCs w:val="24"/>
        </w:rPr>
      </w:pPr>
    </w:p>
    <w:p>
      <w:pPr>
        <w:spacing w:line="360" w:lineRule="auto"/>
        <w:jc w:val="left"/>
      </w:pPr>
      <w:r>
        <w:rPr>
          <w:rFonts w:hint="eastAsia"/>
          <w:b/>
          <w:bCs/>
          <w:sz w:val="24"/>
          <w:szCs w:val="24"/>
        </w:rPr>
        <w:t>日期：</w:t>
      </w:r>
      <w:r>
        <w:rPr>
          <w:rFonts w:hint="default" w:ascii="宋体" w:hAnsi="宋体" w:eastAsia="宋体" w:cs="宋体"/>
          <w:b/>
          <w:bCs/>
          <w:sz w:val="24"/>
          <w:szCs w:val="24"/>
        </w:rPr>
        <w:t>2023</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日</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Arial-Bold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- 16 -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- 16 -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1536"/>
    <w:multiLevelType w:val="singleLevel"/>
    <w:tmpl w:val="B90D1536"/>
    <w:lvl w:ilvl="0" w:tentative="0">
      <w:start w:val="2"/>
      <w:numFmt w:val="decimal"/>
      <w:suff w:val="nothing"/>
      <w:lvlText w:val="（%1）"/>
      <w:lvlJc w:val="left"/>
    </w:lvl>
  </w:abstractNum>
  <w:abstractNum w:abstractNumId="1">
    <w:nsid w:val="C03AD09C"/>
    <w:multiLevelType w:val="singleLevel"/>
    <w:tmpl w:val="C03AD09C"/>
    <w:lvl w:ilvl="0" w:tentative="0">
      <w:start w:val="2"/>
      <w:numFmt w:val="decimal"/>
      <w:suff w:val="nothing"/>
      <w:lvlText w:val="（%1）"/>
      <w:lvlJc w:val="left"/>
      <w:pPr>
        <w:ind w:left="-220"/>
      </w:pPr>
    </w:lvl>
  </w:abstractNum>
  <w:abstractNum w:abstractNumId="2">
    <w:nsid w:val="0A2C2496"/>
    <w:multiLevelType w:val="singleLevel"/>
    <w:tmpl w:val="0A2C249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jY5Yzg3OTk2Njc2ZjY3NzA5ODQxMzEyOTEzMGYifQ=="/>
  </w:docVars>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40"/>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85A"/>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713"/>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97BD3"/>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2C"/>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B87"/>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5EE5"/>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418"/>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0A0C"/>
    <w:rsid w:val="003D138B"/>
    <w:rsid w:val="003D1616"/>
    <w:rsid w:val="003D16FB"/>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8DE"/>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9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B8"/>
    <w:rsid w:val="004C08ED"/>
    <w:rsid w:val="004C0A00"/>
    <w:rsid w:val="004C0E2B"/>
    <w:rsid w:val="004C0FDE"/>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2E6"/>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454"/>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3F8"/>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A06"/>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CD8"/>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797"/>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B3F"/>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9FA"/>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833"/>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705"/>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9F1"/>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51D"/>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C82"/>
    <w:rsid w:val="00964F88"/>
    <w:rsid w:val="00965D50"/>
    <w:rsid w:val="00965DB6"/>
    <w:rsid w:val="00965E8F"/>
    <w:rsid w:val="00966068"/>
    <w:rsid w:val="00966180"/>
    <w:rsid w:val="0096669D"/>
    <w:rsid w:val="0096692E"/>
    <w:rsid w:val="00966991"/>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C06"/>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6A"/>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412"/>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94E"/>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7B6"/>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44"/>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6C8"/>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3BB"/>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C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094"/>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596"/>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6C7"/>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77FDB"/>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EF5"/>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80"/>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3E59"/>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3C"/>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9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48C180B"/>
    <w:rsid w:val="048D0BB7"/>
    <w:rsid w:val="04A15DC2"/>
    <w:rsid w:val="057E3070"/>
    <w:rsid w:val="05F12651"/>
    <w:rsid w:val="07774735"/>
    <w:rsid w:val="08386073"/>
    <w:rsid w:val="083D55C7"/>
    <w:rsid w:val="08890BF4"/>
    <w:rsid w:val="091E5F9B"/>
    <w:rsid w:val="093E523F"/>
    <w:rsid w:val="0AB50401"/>
    <w:rsid w:val="0B654231"/>
    <w:rsid w:val="0B664854"/>
    <w:rsid w:val="0CD0381B"/>
    <w:rsid w:val="0E400C24"/>
    <w:rsid w:val="0E722C77"/>
    <w:rsid w:val="0EC41A8A"/>
    <w:rsid w:val="0F1A489C"/>
    <w:rsid w:val="0FA30629"/>
    <w:rsid w:val="10B26951"/>
    <w:rsid w:val="112C24FB"/>
    <w:rsid w:val="117B7760"/>
    <w:rsid w:val="11BB2940"/>
    <w:rsid w:val="14373EEB"/>
    <w:rsid w:val="144D6802"/>
    <w:rsid w:val="14663E20"/>
    <w:rsid w:val="15101D4F"/>
    <w:rsid w:val="177F2B37"/>
    <w:rsid w:val="18A05BA2"/>
    <w:rsid w:val="190A1A5B"/>
    <w:rsid w:val="19BA710F"/>
    <w:rsid w:val="1B021B9B"/>
    <w:rsid w:val="1D071BD3"/>
    <w:rsid w:val="1D153A25"/>
    <w:rsid w:val="1D154583"/>
    <w:rsid w:val="1D585501"/>
    <w:rsid w:val="1EA40B16"/>
    <w:rsid w:val="1F36613D"/>
    <w:rsid w:val="1FD782E0"/>
    <w:rsid w:val="204405D0"/>
    <w:rsid w:val="210F123D"/>
    <w:rsid w:val="21343E93"/>
    <w:rsid w:val="21874CBE"/>
    <w:rsid w:val="21BD4444"/>
    <w:rsid w:val="22A67325"/>
    <w:rsid w:val="23983868"/>
    <w:rsid w:val="23CD5478"/>
    <w:rsid w:val="2466059E"/>
    <w:rsid w:val="24F420C7"/>
    <w:rsid w:val="253B57EA"/>
    <w:rsid w:val="25EA05B5"/>
    <w:rsid w:val="27504785"/>
    <w:rsid w:val="27753A74"/>
    <w:rsid w:val="277C726E"/>
    <w:rsid w:val="27981C80"/>
    <w:rsid w:val="27C03C1D"/>
    <w:rsid w:val="28F174F3"/>
    <w:rsid w:val="2911757E"/>
    <w:rsid w:val="292672D3"/>
    <w:rsid w:val="2A72335D"/>
    <w:rsid w:val="2B2E744E"/>
    <w:rsid w:val="2BD10E5B"/>
    <w:rsid w:val="2BEF5DD7"/>
    <w:rsid w:val="2D11490D"/>
    <w:rsid w:val="2D836919"/>
    <w:rsid w:val="2E4924A6"/>
    <w:rsid w:val="2F0050B1"/>
    <w:rsid w:val="2F25779D"/>
    <w:rsid w:val="2F3F2D09"/>
    <w:rsid w:val="2F8F686D"/>
    <w:rsid w:val="304150EC"/>
    <w:rsid w:val="30AE5FBF"/>
    <w:rsid w:val="30B11DBC"/>
    <w:rsid w:val="31197AD2"/>
    <w:rsid w:val="3394598B"/>
    <w:rsid w:val="33D07D9B"/>
    <w:rsid w:val="344E4C3C"/>
    <w:rsid w:val="368C0895"/>
    <w:rsid w:val="3833FE27"/>
    <w:rsid w:val="3A4B4EF0"/>
    <w:rsid w:val="3AB33B24"/>
    <w:rsid w:val="3B5E52B7"/>
    <w:rsid w:val="3B8C0ABE"/>
    <w:rsid w:val="3C690CC7"/>
    <w:rsid w:val="3CEA0596"/>
    <w:rsid w:val="3D0224D7"/>
    <w:rsid w:val="3D4E5961"/>
    <w:rsid w:val="3D6930B5"/>
    <w:rsid w:val="3E0C43C8"/>
    <w:rsid w:val="3E3351A0"/>
    <w:rsid w:val="3E4404A1"/>
    <w:rsid w:val="3E7A5DA4"/>
    <w:rsid w:val="3F3DFFC7"/>
    <w:rsid w:val="3F4B26B2"/>
    <w:rsid w:val="3FEFB7C9"/>
    <w:rsid w:val="403F029C"/>
    <w:rsid w:val="410E2DA0"/>
    <w:rsid w:val="41465189"/>
    <w:rsid w:val="41946B84"/>
    <w:rsid w:val="424539BD"/>
    <w:rsid w:val="42540E4B"/>
    <w:rsid w:val="42777067"/>
    <w:rsid w:val="42817622"/>
    <w:rsid w:val="42D92015"/>
    <w:rsid w:val="4531762F"/>
    <w:rsid w:val="47312C8A"/>
    <w:rsid w:val="47461953"/>
    <w:rsid w:val="47846EA7"/>
    <w:rsid w:val="478B1255"/>
    <w:rsid w:val="47EB2504"/>
    <w:rsid w:val="47FF01E7"/>
    <w:rsid w:val="488A470E"/>
    <w:rsid w:val="48FF3934"/>
    <w:rsid w:val="494E5FF9"/>
    <w:rsid w:val="496A408C"/>
    <w:rsid w:val="49B33994"/>
    <w:rsid w:val="49BB6E3D"/>
    <w:rsid w:val="4A407EA2"/>
    <w:rsid w:val="4BCA00BB"/>
    <w:rsid w:val="4C153407"/>
    <w:rsid w:val="4C3E0AEF"/>
    <w:rsid w:val="4D0C1571"/>
    <w:rsid w:val="4D690C66"/>
    <w:rsid w:val="4E8C462D"/>
    <w:rsid w:val="4EB8335F"/>
    <w:rsid w:val="4EFB1916"/>
    <w:rsid w:val="51161366"/>
    <w:rsid w:val="51EF78F1"/>
    <w:rsid w:val="5208770C"/>
    <w:rsid w:val="52977191"/>
    <w:rsid w:val="533E2C95"/>
    <w:rsid w:val="53560AD1"/>
    <w:rsid w:val="53F02921"/>
    <w:rsid w:val="54284998"/>
    <w:rsid w:val="55AE0CF2"/>
    <w:rsid w:val="55DF643D"/>
    <w:rsid w:val="55F93022"/>
    <w:rsid w:val="570162CF"/>
    <w:rsid w:val="57076DA5"/>
    <w:rsid w:val="571E2E47"/>
    <w:rsid w:val="581C28CD"/>
    <w:rsid w:val="581F2D7C"/>
    <w:rsid w:val="582C44F5"/>
    <w:rsid w:val="591D2470"/>
    <w:rsid w:val="59D4149E"/>
    <w:rsid w:val="5A6F213D"/>
    <w:rsid w:val="5AC24C9A"/>
    <w:rsid w:val="5B536DE1"/>
    <w:rsid w:val="5B7C7DD6"/>
    <w:rsid w:val="5BD84AFF"/>
    <w:rsid w:val="5C4D4C4B"/>
    <w:rsid w:val="5C665D09"/>
    <w:rsid w:val="5CC95A45"/>
    <w:rsid w:val="5CCF43FC"/>
    <w:rsid w:val="5E6D119F"/>
    <w:rsid w:val="5F8B52EA"/>
    <w:rsid w:val="6046391C"/>
    <w:rsid w:val="60775315"/>
    <w:rsid w:val="6095537D"/>
    <w:rsid w:val="60C45EE4"/>
    <w:rsid w:val="60CC294E"/>
    <w:rsid w:val="615E7E52"/>
    <w:rsid w:val="61D307AF"/>
    <w:rsid w:val="62554106"/>
    <w:rsid w:val="63561F17"/>
    <w:rsid w:val="63B118BC"/>
    <w:rsid w:val="63C66EC0"/>
    <w:rsid w:val="63D760D7"/>
    <w:rsid w:val="643E7768"/>
    <w:rsid w:val="6460162D"/>
    <w:rsid w:val="64731660"/>
    <w:rsid w:val="648A61D1"/>
    <w:rsid w:val="6664301D"/>
    <w:rsid w:val="66DD32F7"/>
    <w:rsid w:val="670A5BB3"/>
    <w:rsid w:val="67FDB475"/>
    <w:rsid w:val="68221A76"/>
    <w:rsid w:val="68CE68AC"/>
    <w:rsid w:val="68D11FBD"/>
    <w:rsid w:val="69276125"/>
    <w:rsid w:val="695B16D5"/>
    <w:rsid w:val="697C6B9B"/>
    <w:rsid w:val="6B98513E"/>
    <w:rsid w:val="6BA107D1"/>
    <w:rsid w:val="6BC40C68"/>
    <w:rsid w:val="6E5D5438"/>
    <w:rsid w:val="6E934581"/>
    <w:rsid w:val="6EFBD170"/>
    <w:rsid w:val="6F325165"/>
    <w:rsid w:val="6F9E0AAB"/>
    <w:rsid w:val="7039771A"/>
    <w:rsid w:val="70424565"/>
    <w:rsid w:val="710C5E72"/>
    <w:rsid w:val="719E50B9"/>
    <w:rsid w:val="737A10CB"/>
    <w:rsid w:val="73E157AF"/>
    <w:rsid w:val="755516F8"/>
    <w:rsid w:val="7625023F"/>
    <w:rsid w:val="76480A30"/>
    <w:rsid w:val="76D54CCA"/>
    <w:rsid w:val="76DF06D7"/>
    <w:rsid w:val="76F784FC"/>
    <w:rsid w:val="77355948"/>
    <w:rsid w:val="776D7079"/>
    <w:rsid w:val="7773427D"/>
    <w:rsid w:val="77FF3C89"/>
    <w:rsid w:val="78047384"/>
    <w:rsid w:val="78E539F7"/>
    <w:rsid w:val="792500C1"/>
    <w:rsid w:val="79BB2FE8"/>
    <w:rsid w:val="79DF0135"/>
    <w:rsid w:val="79EE6DBE"/>
    <w:rsid w:val="7B7F0F5C"/>
    <w:rsid w:val="7C463E45"/>
    <w:rsid w:val="7CF57E0B"/>
    <w:rsid w:val="7D0B1235"/>
    <w:rsid w:val="7D7E3B33"/>
    <w:rsid w:val="7D892BC5"/>
    <w:rsid w:val="7DED7B10"/>
    <w:rsid w:val="7E7E2F05"/>
    <w:rsid w:val="7EBF79BF"/>
    <w:rsid w:val="7F3E56AC"/>
    <w:rsid w:val="7F3F9604"/>
    <w:rsid w:val="7F554AE2"/>
    <w:rsid w:val="7F67507D"/>
    <w:rsid w:val="7F9056C7"/>
    <w:rsid w:val="7FBA783D"/>
    <w:rsid w:val="7FBEB8E0"/>
    <w:rsid w:val="7FD37E1F"/>
    <w:rsid w:val="7FDFE6E6"/>
    <w:rsid w:val="A1FF2BEF"/>
    <w:rsid w:val="AFBF7FEE"/>
    <w:rsid w:val="B787FDE3"/>
    <w:rsid w:val="BDD6D118"/>
    <w:rsid w:val="BEF5111A"/>
    <w:rsid w:val="BEFF1632"/>
    <w:rsid w:val="BF1FB41C"/>
    <w:rsid w:val="CF748278"/>
    <w:rsid w:val="DCAF13E4"/>
    <w:rsid w:val="DD56658D"/>
    <w:rsid w:val="DDEF9E11"/>
    <w:rsid w:val="DEBF3D5A"/>
    <w:rsid w:val="DEDFD22C"/>
    <w:rsid w:val="DFE951B0"/>
    <w:rsid w:val="DFFD1604"/>
    <w:rsid w:val="ECFDCEAA"/>
    <w:rsid w:val="ED7ABCD7"/>
    <w:rsid w:val="EEF7CBD0"/>
    <w:rsid w:val="EFBF062A"/>
    <w:rsid w:val="EFD80D4B"/>
    <w:rsid w:val="EFDE1010"/>
    <w:rsid w:val="F17F953E"/>
    <w:rsid w:val="F2FF0AC7"/>
    <w:rsid w:val="F3EF9CE7"/>
    <w:rsid w:val="F79FD2DA"/>
    <w:rsid w:val="F7CB1C3B"/>
    <w:rsid w:val="F7D8C20A"/>
    <w:rsid w:val="F7FDFECC"/>
    <w:rsid w:val="FBDFA598"/>
    <w:rsid w:val="FBF60718"/>
    <w:rsid w:val="FD7E66BD"/>
    <w:rsid w:val="FDFA34BD"/>
    <w:rsid w:val="FEEEDD19"/>
    <w:rsid w:val="FF1E34AA"/>
    <w:rsid w:val="FF3D7ABD"/>
    <w:rsid w:val="FF7D1CC1"/>
    <w:rsid w:val="FFCB5C17"/>
    <w:rsid w:val="FFCD6EE4"/>
    <w:rsid w:val="FFF6C0C3"/>
    <w:rsid w:val="FFFDAE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customStyle="1" w:styleId="15">
    <w:name w:val="标题 1 Char"/>
    <w:basedOn w:val="13"/>
    <w:link w:val="2"/>
    <w:qFormat/>
    <w:uiPriority w:val="9"/>
    <w:rPr>
      <w:b/>
      <w:bCs/>
      <w:kern w:val="44"/>
      <w:sz w:val="44"/>
      <w:szCs w:val="44"/>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批注框文本 Char"/>
    <w:basedOn w:val="13"/>
    <w:link w:val="5"/>
    <w:semiHidden/>
    <w:qFormat/>
    <w:uiPriority w:val="99"/>
    <w:rPr>
      <w:sz w:val="18"/>
      <w:szCs w:val="18"/>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18</Pages>
  <Words>5112</Words>
  <Characters>5485</Characters>
  <Lines>1</Lines>
  <Paragraphs>1</Paragraphs>
  <TotalTime>82</TotalTime>
  <ScaleCrop>false</ScaleCrop>
  <LinksUpToDate>false</LinksUpToDate>
  <CharactersWithSpaces>5792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2014-09-17T02:16:00Z</dcterms:created>
  <dc:creator>备注</dc:creator>
  <cp:lastModifiedBy>O.Y.D.J</cp:lastModifiedBy>
  <cp:lastPrinted>2021-09-27T00:59:00Z</cp:lastPrinted>
  <dcterms:modified xsi:type="dcterms:W3CDTF">2023-05-26T01:09:43Z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BC1C27078D174F2E9F3EEA6A0FE86202</vt:lpwstr>
  </property>
</Properties>
</file>