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2"/>
          <w:szCs w:val="32"/>
        </w:rPr>
      </w:pPr>
      <w:bookmarkStart w:id="6" w:name="_GoBack"/>
      <w:bookmarkEnd w:id="6"/>
      <w:r>
        <w:rPr>
          <w:rFonts w:hint="eastAsia" w:asciiTheme="majorEastAsia" w:hAnsiTheme="majorEastAsia" w:eastAsiaTheme="majorEastAsia"/>
          <w:b/>
          <w:bCs/>
          <w:sz w:val="32"/>
          <w:szCs w:val="32"/>
        </w:rPr>
        <w:t xml:space="preserve">附件1： </w:t>
      </w:r>
    </w:p>
    <w:p/>
    <w:p/>
    <w:p/>
    <w:p>
      <w:pPr>
        <w:jc w:val="center"/>
      </w:pPr>
      <w:r>
        <w:rPr>
          <w:rFonts w:hint="eastAsia"/>
        </w:rPr>
        <w:drawing>
          <wp:inline distT="0" distB="0" distL="114300" distR="114300">
            <wp:extent cx="911860" cy="1283970"/>
            <wp:effectExtent l="0" t="0" r="2540" b="11430"/>
            <wp:docPr id="1" name="图片 1"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建材标志"/>
                    <pic:cNvPicPr>
                      <a:picLocks noChangeAspect="1"/>
                    </pic:cNvPicPr>
                  </pic:nvPicPr>
                  <pic:blipFill>
                    <a:blip r:embed="rId6"/>
                    <a:stretch>
                      <a:fillRect/>
                    </a:stretch>
                  </pic:blipFill>
                  <pic:spPr>
                    <a:xfrm>
                      <a:off x="0" y="0"/>
                      <a:ext cx="911860" cy="1283970"/>
                    </a:xfrm>
                    <a:prstGeom prst="rect">
                      <a:avLst/>
                    </a:prstGeom>
                  </pic:spPr>
                </pic:pic>
              </a:graphicData>
            </a:graphic>
          </wp:inline>
        </w:drawing>
      </w:r>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w:t>
      </w:r>
      <w:r>
        <w:rPr>
          <w:rFonts w:hint="eastAsia" w:ascii="黑体" w:hAnsi="黑体" w:eastAsia="黑体" w:cs="黑体"/>
          <w:sz w:val="48"/>
          <w:szCs w:val="48"/>
          <w:lang w:eastAsia="zh-CN"/>
        </w:rPr>
        <w:t>招</w:t>
      </w:r>
      <w:r>
        <w:rPr>
          <w:rFonts w:hint="eastAsia" w:ascii="黑体" w:hAnsi="黑体" w:eastAsia="黑体" w:cs="黑体"/>
          <w:sz w:val="48"/>
          <w:szCs w:val="48"/>
        </w:rPr>
        <w:t>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3</w:t>
      </w:r>
      <w:r>
        <w:rPr>
          <w:rFonts w:hint="eastAsia" w:ascii="黑体" w:hAnsi="黑体" w:eastAsia="黑体" w:cs="黑体"/>
          <w:sz w:val="48"/>
          <w:szCs w:val="48"/>
        </w:rPr>
        <w:t>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7"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w:t>
      </w:r>
      <w:r>
        <w:rPr>
          <w:rFonts w:hint="eastAsia" w:ascii="宋体" w:hAnsi="宋体" w:eastAsia="宋体" w:cs="宋体"/>
          <w:b/>
          <w:bCs/>
          <w:sz w:val="44"/>
          <w:szCs w:val="44"/>
          <w:lang w:eastAsia="zh-CN"/>
        </w:rPr>
        <w:t>招</w:t>
      </w:r>
      <w:r>
        <w:rPr>
          <w:rFonts w:hint="eastAsia" w:ascii="宋体" w:hAnsi="宋体" w:eastAsia="宋体" w:cs="宋体"/>
          <w:b/>
          <w:bCs/>
          <w:sz w:val="44"/>
          <w:szCs w:val="44"/>
        </w:rPr>
        <w:t>标采购实施办法（202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w:t>
      </w:r>
      <w:r>
        <w:rPr>
          <w:rFonts w:hint="eastAsia" w:ascii="仿宋_GB2312" w:hAnsi="仿宋_GB2312" w:eastAsia="仿宋_GB2312" w:cs="仿宋_GB2312"/>
          <w:sz w:val="32"/>
          <w:szCs w:val="32"/>
          <w:lang w:eastAsia="zh-CN"/>
        </w:rPr>
        <w:t>华东材料</w:t>
      </w:r>
      <w:r>
        <w:rPr>
          <w:rFonts w:hint="eastAsia" w:ascii="仿宋_GB2312" w:hAnsi="仿宋_GB2312" w:eastAsia="仿宋_GB2312" w:cs="仿宋_GB2312"/>
          <w:sz w:val="32"/>
          <w:szCs w:val="32"/>
        </w:rPr>
        <w:t>有限公司</w:t>
      </w:r>
      <w:r>
        <w:rPr>
          <w:rFonts w:hint="default" w:ascii="仿宋_GB2312" w:hAnsi="仿宋_GB2312" w:eastAsia="仿宋_GB2312" w:cs="仿宋_GB2312"/>
          <w:sz w:val="32"/>
          <w:szCs w:val="32"/>
        </w:rPr>
        <w:t>南京商混平台公司</w:t>
      </w:r>
      <w:r>
        <w:rPr>
          <w:rFonts w:hint="eastAsia" w:ascii="仿宋_GB2312" w:hAnsi="仿宋_GB2312" w:eastAsia="仿宋_GB2312" w:cs="仿宋_GB2312"/>
          <w:sz w:val="32"/>
          <w:szCs w:val="32"/>
        </w:rPr>
        <w:t>，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序号</w:t>
            </w:r>
          </w:p>
        </w:tc>
        <w:tc>
          <w:tcPr>
            <w:tcW w:w="1366"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项目</w:t>
            </w:r>
          </w:p>
        </w:tc>
        <w:tc>
          <w:tcPr>
            <w:tcW w:w="903"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天然砂内控</w:t>
            </w:r>
            <w:r>
              <w:rPr>
                <w:rFonts w:hint="default"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1366"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903"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粗</w:t>
            </w:r>
            <w:r>
              <w:rPr>
                <w:rFonts w:hint="default"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普通</w:t>
            </w:r>
            <w:r>
              <w:rPr>
                <w:rFonts w:hint="default" w:asciiTheme="minorEastAsia" w:hAnsiTheme="minorEastAsia"/>
                <w:sz w:val="24"/>
                <w:szCs w:val="24"/>
              </w:rPr>
              <w:t>砂</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细度模数</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r>
              <w:rPr>
                <w:rFonts w:hint="eastAsia" w:asciiTheme="minorEastAsia" w:hAnsiTheme="minorEastAsia"/>
                <w:sz w:val="24"/>
                <w:szCs w:val="24"/>
              </w:rPr>
              <w:t>6</w:t>
            </w:r>
            <w:r>
              <w:rPr>
                <w:rFonts w:hint="default" w:asciiTheme="minorEastAsia" w:hAnsiTheme="minorEastAsia"/>
                <w:sz w:val="24"/>
                <w:szCs w:val="24"/>
              </w:rPr>
              <w:t>~</w:t>
            </w:r>
            <w:r>
              <w:rPr>
                <w:rFonts w:hint="eastAsia" w:asciiTheme="minorEastAsia" w:hAnsiTheme="minorEastAsia"/>
                <w:sz w:val="24"/>
                <w:szCs w:val="24"/>
              </w:rPr>
              <w:t>2.2</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w:t>
            </w:r>
            <w:r>
              <w:rPr>
                <w:rFonts w:hint="eastAsia" w:asciiTheme="minorEastAsia" w:hAnsiTheme="minorEastAsia"/>
                <w:sz w:val="24"/>
                <w:szCs w:val="24"/>
              </w:rPr>
              <w:t>6</w:t>
            </w:r>
            <w:r>
              <w:rPr>
                <w:rFonts w:hint="default"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级配</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II区</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≥5</w:t>
            </w:r>
            <w:r>
              <w:rPr>
                <w:rFonts w:hint="default" w:asciiTheme="minorEastAsia" w:hAnsiTheme="minorEastAsia"/>
                <w:sz w:val="24"/>
                <w:szCs w:val="24"/>
              </w:rPr>
              <w:t>mm</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4</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含泥量</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r>
              <w:rPr>
                <w:rFonts w:hint="eastAsia" w:asciiTheme="minorEastAsia" w:hAnsiTheme="minorEastAsia"/>
                <w:sz w:val="24"/>
                <w:szCs w:val="24"/>
              </w:rPr>
              <w:t>5</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2.2</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2.2</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5</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泥块含量</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≤0.5</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6</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氯离子</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5382" w:type="dxa"/>
            <w:gridSpan w:val="4"/>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keepNext w:val="0"/>
              <w:keepLines w:val="0"/>
              <w:suppressLineNumbers w:val="0"/>
              <w:spacing w:before="0" w:beforeAutospacing="0" w:after="0" w:afterAutospacing="0" w:line="288" w:lineRule="auto"/>
              <w:ind w:left="0" w:right="0"/>
              <w:jc w:val="left"/>
              <w:rPr>
                <w:rFonts w:hint="default" w:asciiTheme="minorEastAsia" w:hAnsiTheme="minorEastAsia"/>
                <w:sz w:val="24"/>
                <w:szCs w:val="24"/>
              </w:rPr>
            </w:pPr>
            <w:r>
              <w:rPr>
                <w:rFonts w:hint="eastAsia" w:asciiTheme="minorEastAsia" w:hAnsiTheme="minorEastAsia"/>
                <w:sz w:val="24"/>
                <w:szCs w:val="24"/>
              </w:rPr>
              <w:t>注：1、不得为海砂、风化砂。</w:t>
            </w:r>
          </w:p>
          <w:p>
            <w:pPr>
              <w:keepNext w:val="0"/>
              <w:keepLines w:val="0"/>
              <w:suppressLineNumbers w:val="0"/>
              <w:spacing w:before="0" w:beforeAutospacing="0" w:after="0" w:afterAutospacing="0" w:line="288" w:lineRule="auto"/>
              <w:ind w:left="0" w:right="0" w:firstLine="480" w:firstLineChars="200"/>
              <w:jc w:val="left"/>
              <w:rPr>
                <w:rFonts w:hint="default" w:asciiTheme="minorEastAsia" w:hAnsiTheme="minorEastAsia"/>
                <w:sz w:val="24"/>
                <w:szCs w:val="24"/>
              </w:rPr>
            </w:pPr>
            <w:r>
              <w:rPr>
                <w:rFonts w:hint="eastAsia" w:asciiTheme="minorEastAsia" w:hAnsiTheme="minorEastAsia"/>
                <w:sz w:val="24"/>
                <w:szCs w:val="24"/>
              </w:rPr>
              <w:t>2、</w:t>
            </w:r>
            <w:r>
              <w:rPr>
                <w:rFonts w:hint="default"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keepNext w:val="0"/>
              <w:keepLines w:val="0"/>
              <w:suppressLineNumbers w:val="0"/>
              <w:spacing w:before="0" w:beforeAutospacing="0" w:after="0" w:afterAutospacing="0" w:line="288" w:lineRule="auto"/>
              <w:ind w:left="0" w:right="0" w:firstLine="480" w:firstLineChars="200"/>
              <w:jc w:val="left"/>
              <w:rPr>
                <w:rFonts w:hint="default"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序号</w:t>
            </w:r>
          </w:p>
        </w:tc>
        <w:tc>
          <w:tcPr>
            <w:tcW w:w="2497"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项目单位</w:t>
            </w:r>
          </w:p>
        </w:tc>
        <w:tc>
          <w:tcPr>
            <w:tcW w:w="813"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单位</w:t>
            </w:r>
          </w:p>
        </w:tc>
        <w:tc>
          <w:tcPr>
            <w:tcW w:w="4230"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eastAsia"/>
                <w:sz w:val="24"/>
                <w:szCs w:val="24"/>
              </w:rPr>
              <w:t>机制砂</w:t>
            </w:r>
            <w:r>
              <w:rPr>
                <w:rFonts w:hint="default"/>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2497"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813"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199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default"/>
                <w:sz w:val="24"/>
                <w:szCs w:val="24"/>
              </w:rPr>
              <w:t>卵石</w:t>
            </w:r>
          </w:p>
        </w:tc>
        <w:tc>
          <w:tcPr>
            <w:tcW w:w="223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default"/>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细度模数</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2.</w:t>
            </w:r>
            <w:r>
              <w:rPr>
                <w:rFonts w:hint="eastAsia"/>
                <w:sz w:val="24"/>
                <w:szCs w:val="24"/>
              </w:rPr>
              <w:t>5</w:t>
            </w:r>
            <w:r>
              <w:rPr>
                <w:rFonts w:hint="default"/>
                <w:sz w:val="24"/>
                <w:szCs w:val="24"/>
              </w:rPr>
              <w:t>~3.2</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2.8</w:t>
            </w:r>
            <w:r>
              <w:rPr>
                <w:rFonts w:hint="default"/>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2</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级配</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II区</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I</w:t>
            </w:r>
            <w:r>
              <w:rPr>
                <w:rFonts w:hint="default"/>
                <w:sz w:val="24"/>
                <w:szCs w:val="24"/>
              </w:rPr>
              <w:t>区</w:t>
            </w:r>
            <w:r>
              <w:rPr>
                <w:rFonts w:hint="eastAsia"/>
                <w:sz w:val="24"/>
                <w:szCs w:val="24"/>
              </w:rPr>
              <w:t>、</w:t>
            </w:r>
            <w:r>
              <w:rPr>
                <w:rFonts w:hint="default"/>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3</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MB值</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≤1.2</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4</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石粉含量（含泥量）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≤5.0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5</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泥块含量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6</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压碎值</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≤16.0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r>
              <w:rPr>
                <w:rFonts w:hint="eastAsia"/>
                <w:sz w:val="24"/>
                <w:szCs w:val="24"/>
              </w:rPr>
              <w:t>18</w:t>
            </w:r>
            <w:r>
              <w:rPr>
                <w:rFonts w:hint="default"/>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7</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吸水率</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≤1.5</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8</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氯离子含量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4230" w:type="dxa"/>
            <w:gridSpan w:val="2"/>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keepNext w:val="0"/>
              <w:keepLines w:val="0"/>
              <w:suppressLineNumbers w:val="0"/>
              <w:spacing w:before="0" w:beforeAutospacing="0" w:after="0" w:afterAutospacing="0" w:line="288" w:lineRule="auto"/>
              <w:ind w:left="0" w:right="0"/>
              <w:rPr>
                <w:rFonts w:hint="default"/>
                <w:sz w:val="24"/>
                <w:szCs w:val="24"/>
              </w:rPr>
            </w:pPr>
            <w:r>
              <w:rPr>
                <w:rFonts w:hint="eastAsia"/>
                <w:sz w:val="24"/>
                <w:szCs w:val="24"/>
              </w:rPr>
              <w:t>注：</w:t>
            </w:r>
            <w:r>
              <w:rPr>
                <w:rFonts w:hint="default"/>
                <w:sz w:val="24"/>
                <w:szCs w:val="24"/>
              </w:rPr>
              <w:t>1、</w:t>
            </w:r>
            <w:r>
              <w:rPr>
                <w:rFonts w:hint="eastAsia"/>
                <w:sz w:val="24"/>
                <w:szCs w:val="24"/>
              </w:rPr>
              <w:t>机制砂的原材不得为风化石、石英砂岩、页岩或砂岩；</w:t>
            </w:r>
          </w:p>
          <w:p>
            <w:pPr>
              <w:keepNext w:val="0"/>
              <w:keepLines w:val="0"/>
              <w:suppressLineNumbers w:val="0"/>
              <w:spacing w:before="0" w:beforeAutospacing="0" w:after="0" w:afterAutospacing="0" w:line="288" w:lineRule="auto"/>
              <w:ind w:left="0" w:right="0" w:firstLine="480" w:firstLineChars="200"/>
              <w:rPr>
                <w:rFonts w:hint="default"/>
                <w:sz w:val="24"/>
                <w:szCs w:val="24"/>
              </w:rPr>
            </w:pPr>
            <w:r>
              <w:rPr>
                <w:rFonts w:hint="eastAsia"/>
                <w:sz w:val="24"/>
                <w:szCs w:val="24"/>
              </w:rPr>
              <w:t>2、机制砂</w:t>
            </w:r>
            <w:r>
              <w:rPr>
                <w:rFonts w:hint="default"/>
                <w:sz w:val="24"/>
                <w:szCs w:val="24"/>
              </w:rPr>
              <w:t>中不得含有大的石块、泥块、磨细钢渣、煤炭及树枝等杂物</w:t>
            </w:r>
            <w:r>
              <w:rPr>
                <w:rFonts w:hint="eastAsia"/>
                <w:sz w:val="24"/>
                <w:szCs w:val="24"/>
              </w:rPr>
              <w:t>；</w:t>
            </w:r>
          </w:p>
          <w:p>
            <w:pPr>
              <w:keepNext w:val="0"/>
              <w:keepLines w:val="0"/>
              <w:suppressLineNumbers w:val="0"/>
              <w:spacing w:before="0" w:beforeAutospacing="0" w:after="0" w:afterAutospacing="0" w:line="288" w:lineRule="auto"/>
              <w:ind w:left="0" w:right="0" w:firstLine="480" w:firstLineChars="200"/>
              <w:rPr>
                <w:rFonts w:hint="default"/>
                <w:color w:val="000000"/>
                <w:sz w:val="24"/>
                <w:szCs w:val="24"/>
              </w:rPr>
            </w:pPr>
            <w:r>
              <w:rPr>
                <w:rFonts w:hint="eastAsia"/>
                <w:color w:val="000000"/>
                <w:sz w:val="24"/>
                <w:szCs w:val="24"/>
              </w:rPr>
              <w:t>3</w:t>
            </w:r>
            <w:r>
              <w:rPr>
                <w:rFonts w:hint="default"/>
                <w:color w:val="000000"/>
                <w:sz w:val="24"/>
                <w:szCs w:val="24"/>
              </w:rPr>
              <w:t>、</w:t>
            </w:r>
            <w:r>
              <w:rPr>
                <w:rFonts w:hint="eastAsia"/>
                <w:color w:val="000000"/>
                <w:sz w:val="24"/>
                <w:szCs w:val="24"/>
              </w:rPr>
              <w:t>机制砂</w:t>
            </w:r>
            <w:r>
              <w:rPr>
                <w:rFonts w:hint="default"/>
                <w:color w:val="000000"/>
                <w:sz w:val="24"/>
                <w:szCs w:val="24"/>
              </w:rPr>
              <w:t>中严格控制铁物质含量小于0.2%；</w:t>
            </w:r>
          </w:p>
          <w:p>
            <w:pPr>
              <w:keepNext w:val="0"/>
              <w:keepLines w:val="0"/>
              <w:suppressLineNumbers w:val="0"/>
              <w:spacing w:before="0" w:beforeAutospacing="0" w:after="0" w:afterAutospacing="0" w:line="288" w:lineRule="auto"/>
              <w:ind w:left="0" w:right="0" w:firstLine="480" w:firstLineChars="200"/>
              <w:rPr>
                <w:rFonts w:hint="default"/>
                <w:color w:val="000000"/>
              </w:rPr>
            </w:pPr>
            <w:r>
              <w:rPr>
                <w:rFonts w:hint="default"/>
                <w:color w:val="000000"/>
                <w:sz w:val="24"/>
                <w:szCs w:val="24"/>
              </w:rPr>
              <w:t>4、</w:t>
            </w:r>
            <w:r>
              <w:rPr>
                <w:rFonts w:hint="eastAsia"/>
                <w:color w:val="000000"/>
                <w:sz w:val="24"/>
                <w:szCs w:val="24"/>
              </w:rPr>
              <w:t>机制砂</w:t>
            </w:r>
            <w:r>
              <w:rPr>
                <w:rFonts w:hint="default"/>
                <w:color w:val="000000"/>
                <w:sz w:val="24"/>
                <w:szCs w:val="24"/>
              </w:rPr>
              <w:t>使用絮凝剂的不得影响混凝土工作性能，如对外加剂掺量造成明显影响的进行退货；</w:t>
            </w:r>
          </w:p>
          <w:p>
            <w:pPr>
              <w:keepNext w:val="0"/>
              <w:keepLines w:val="0"/>
              <w:suppressLineNumbers w:val="0"/>
              <w:spacing w:before="0" w:beforeAutospacing="0" w:after="0" w:afterAutospacing="0" w:line="288" w:lineRule="auto"/>
              <w:ind w:left="0" w:right="0" w:firstLine="480" w:firstLineChars="200"/>
              <w:rPr>
                <w:rFonts w:hint="default"/>
                <w:sz w:val="24"/>
                <w:szCs w:val="24"/>
              </w:rPr>
            </w:pPr>
            <w:r>
              <w:rPr>
                <w:rFonts w:hint="default"/>
                <w:sz w:val="24"/>
                <w:szCs w:val="24"/>
              </w:rPr>
              <w:t>5、</w:t>
            </w:r>
            <w:r>
              <w:rPr>
                <w:rFonts w:hint="eastAsia"/>
                <w:sz w:val="24"/>
                <w:szCs w:val="24"/>
              </w:rPr>
              <w:t>机制砂</w:t>
            </w:r>
            <w:r>
              <w:rPr>
                <w:rFonts w:hint="default"/>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序号</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项目</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单位</w:t>
            </w:r>
          </w:p>
        </w:tc>
        <w:tc>
          <w:tcPr>
            <w:tcW w:w="1415" w:type="dxa"/>
            <w:tcMar>
              <w:left w:w="57" w:type="dxa"/>
              <w:right w:w="57" w:type="dxa"/>
            </w:tcMar>
            <w:vAlign w:val="center"/>
          </w:tcPr>
          <w:p>
            <w:pPr>
              <w:keepNext w:val="0"/>
              <w:keepLines w:val="0"/>
              <w:suppressLineNumbers w:val="0"/>
              <w:snapToGrid w:val="0"/>
              <w:spacing w:before="0" w:beforeAutospacing="0" w:after="0" w:afterAutospacing="0"/>
              <w:ind w:left="-29" w:leftChars="-95" w:right="-113" w:rightChars="-54" w:hanging="170" w:hangingChars="71"/>
              <w:jc w:val="center"/>
              <w:rPr>
                <w:rFonts w:hint="default"/>
                <w:sz w:val="24"/>
                <w:szCs w:val="24"/>
              </w:rPr>
            </w:pPr>
            <w:r>
              <w:rPr>
                <w:rFonts w:hint="default"/>
                <w:sz w:val="24"/>
                <w:szCs w:val="24"/>
              </w:rPr>
              <w:t>小碎</w:t>
            </w:r>
          </w:p>
        </w:tc>
        <w:tc>
          <w:tcPr>
            <w:tcW w:w="1415" w:type="dxa"/>
            <w:tcMar>
              <w:left w:w="57" w:type="dxa"/>
              <w:right w:w="57" w:type="dxa"/>
            </w:tcMar>
            <w:vAlign w:val="center"/>
          </w:tcPr>
          <w:p>
            <w:pPr>
              <w:keepNext w:val="0"/>
              <w:keepLines w:val="0"/>
              <w:suppressLineNumbers w:val="0"/>
              <w:snapToGrid w:val="0"/>
              <w:spacing w:before="0" w:beforeAutospacing="0" w:after="0" w:afterAutospacing="0"/>
              <w:ind w:left="-29" w:leftChars="-95" w:right="-113" w:rightChars="-54" w:hanging="170" w:hangingChars="71"/>
              <w:jc w:val="center"/>
              <w:rPr>
                <w:rFonts w:hint="default"/>
                <w:sz w:val="24"/>
                <w:szCs w:val="24"/>
              </w:rPr>
            </w:pPr>
            <w:r>
              <w:rPr>
                <w:rFonts w:hint="default"/>
                <w:sz w:val="24"/>
                <w:szCs w:val="24"/>
              </w:rPr>
              <w:t>小碎</w:t>
            </w:r>
          </w:p>
        </w:tc>
        <w:tc>
          <w:tcPr>
            <w:tcW w:w="1417" w:type="dxa"/>
            <w:tcMar>
              <w:left w:w="57" w:type="dxa"/>
              <w:right w:w="57" w:type="dxa"/>
            </w:tcMar>
            <w:vAlign w:val="center"/>
          </w:tcPr>
          <w:p>
            <w:pPr>
              <w:pStyle w:val="2"/>
              <w:suppressLineNumbers w:val="0"/>
              <w:snapToGrid w:val="0"/>
              <w:spacing w:before="0" w:beforeAutospacing="0" w:after="0" w:afterAutospacing="0" w:line="240" w:lineRule="auto"/>
              <w:ind w:left="-29" w:leftChars="-95" w:right="-113" w:rightChars="-54" w:hanging="170" w:hangingChars="71"/>
              <w:jc w:val="center"/>
              <w:rPr>
                <w:rFonts w:hint="default"/>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级配</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mm</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w:t>
            </w:r>
            <w:r>
              <w:rPr>
                <w:rFonts w:hint="eastAsia"/>
                <w:sz w:val="24"/>
                <w:szCs w:val="24"/>
              </w:rPr>
              <w:t>~</w:t>
            </w:r>
            <w:r>
              <w:rPr>
                <w:rFonts w:hint="default"/>
                <w:sz w:val="24"/>
                <w:szCs w:val="24"/>
              </w:rPr>
              <w:t>31.5</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w:t>
            </w:r>
            <w:r>
              <w:rPr>
                <w:rFonts w:hint="eastAsia"/>
                <w:sz w:val="24"/>
                <w:szCs w:val="24"/>
              </w:rPr>
              <w:t>~</w:t>
            </w:r>
            <w:r>
              <w:rPr>
                <w:rFonts w:hint="default"/>
                <w:sz w:val="24"/>
                <w:szCs w:val="24"/>
              </w:rPr>
              <w:t>25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w:t>
            </w:r>
            <w:r>
              <w:rPr>
                <w:rFonts w:hint="eastAsia"/>
                <w:sz w:val="24"/>
                <w:szCs w:val="24"/>
              </w:rPr>
              <w:t>~</w:t>
            </w:r>
            <w:r>
              <w:rPr>
                <w:rFonts w:hint="default"/>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针片状颗粒含量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10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3</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石粉含量</w:t>
            </w:r>
            <w:r>
              <w:rPr>
                <w:rFonts w:hint="eastAsia"/>
                <w:sz w:val="24"/>
                <w:szCs w:val="24"/>
              </w:rPr>
              <w:t>（含泥量）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w:t>
            </w:r>
            <w:r>
              <w:rPr>
                <w:rFonts w:hint="eastAsia"/>
                <w:sz w:val="24"/>
                <w:szCs w:val="24"/>
              </w:rPr>
              <w:t>.0</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2.0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4</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泥块含量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≤0.5</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w:t>
            </w:r>
            <w:r>
              <w:rPr>
                <w:rFonts w:hint="eastAsia"/>
                <w:sz w:val="24"/>
                <w:szCs w:val="24"/>
              </w:rPr>
              <w:t>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压碎值指标</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≤13</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w:t>
            </w:r>
            <w:r>
              <w:rPr>
                <w:rFonts w:hint="eastAsia"/>
                <w:sz w:val="24"/>
                <w:szCs w:val="24"/>
              </w:rPr>
              <w:t>3</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6</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吸水率</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≤0.7</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7</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16mm以下筛分</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 xml:space="preserve">≤50 </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50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8</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5mm以下筛分</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 xml:space="preserve">≤5 </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注：1、</w:t>
            </w:r>
            <w:r>
              <w:rPr>
                <w:rFonts w:hint="default"/>
                <w:sz w:val="24"/>
                <w:szCs w:val="24"/>
              </w:rPr>
              <w:t>石料不得含有钢渣、炉渣、石灰、煤炭、风化石、树枝、煤矸石、页岩、耐火砖等杂物，不得含有大的石块或泥块</w:t>
            </w:r>
            <w:r>
              <w:rPr>
                <w:rFonts w:hint="eastAsia"/>
                <w:sz w:val="24"/>
                <w:szCs w:val="24"/>
              </w:rPr>
              <w:t>。</w:t>
            </w:r>
          </w:p>
          <w:p>
            <w:pPr>
              <w:keepNext w:val="0"/>
              <w:keepLines w:val="0"/>
              <w:suppressLineNumbers w:val="0"/>
              <w:spacing w:before="0" w:beforeAutospacing="0" w:after="0" w:afterAutospacing="0"/>
              <w:ind w:left="0" w:right="0" w:firstLine="480" w:firstLineChars="200"/>
              <w:rPr>
                <w:rFonts w:hint="default"/>
                <w:sz w:val="24"/>
                <w:szCs w:val="24"/>
              </w:rPr>
            </w:pPr>
            <w:r>
              <w:rPr>
                <w:rFonts w:hint="eastAsia"/>
                <w:sz w:val="24"/>
                <w:szCs w:val="24"/>
              </w:rPr>
              <w:t>2、</w:t>
            </w:r>
            <w:r>
              <w:rPr>
                <w:rFonts w:hint="default"/>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招</w:t>
      </w:r>
      <w:r>
        <w:rPr>
          <w:rFonts w:hint="eastAsia" w:ascii="黑体" w:hAnsi="黑体" w:eastAsia="黑体" w:cs="黑体"/>
          <w:sz w:val="32"/>
          <w:szCs w:val="32"/>
        </w:rPr>
        <w:t>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公司根据预期的生产计划，提前</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标采购将分解成若干标的，到港原则上每标的3万吨。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标人参与竞价即代表认可公告中所对应的付款方式，并根据该付款方式作出报价。</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标人报价文件中不得改动公告中所载明的付款方式，否则为无效报价，作废标处理。</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（2）竞价交易采取一轮报价，报价全部为到达指定码头的含税靠港价，</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标人需提供增值税专用发票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税率13%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ascii="仿宋_GB2312" w:hAnsi="Times New Roman" w:eastAsia="仿宋_GB2312" w:cs="Times New Roman"/>
          <w:color w:val="auto"/>
          <w:sz w:val="32"/>
          <w:szCs w:val="32"/>
        </w:rPr>
        <w:t>所报单价均按</w:t>
      </w:r>
      <w:r>
        <w:rPr>
          <w:rFonts w:hint="eastAsia" w:ascii="仿宋_GB2312" w:hAnsi="Times New Roman" w:eastAsia="仿宋_GB2312" w:cs="Times New Roman"/>
          <w:color w:val="auto"/>
          <w:sz w:val="32"/>
          <w:szCs w:val="32"/>
          <w:lang w:val="en-US" w:eastAsia="zh-CN"/>
        </w:rPr>
        <w:t>1</w:t>
      </w:r>
      <w:r>
        <w:rPr>
          <w:rFonts w:ascii="仿宋_GB2312" w:hAnsi="Times New Roman" w:eastAsia="仿宋_GB2312" w:cs="Times New Roman"/>
          <w:color w:val="auto"/>
          <w:sz w:val="32"/>
          <w:szCs w:val="32"/>
        </w:rPr>
        <w:t>3%税率填报，</w:t>
      </w:r>
      <w:r>
        <w:rPr>
          <w:rFonts w:hint="eastAsia" w:ascii="仿宋_GB2312" w:hAnsi="Times New Roman" w:eastAsia="仿宋_GB2312" w:cs="Times New Roman"/>
          <w:color w:val="000000"/>
          <w:sz w:val="32"/>
          <w:szCs w:val="32"/>
        </w:rPr>
        <w:t>在评标时</w:t>
      </w:r>
      <w:r>
        <w:rPr>
          <w:rFonts w:hint="eastAsia" w:ascii="仿宋_GB2312" w:hAnsi="Times New Roman" w:eastAsia="仿宋_GB2312" w:cs="Times New Roman"/>
          <w:color w:val="000000"/>
          <w:sz w:val="32"/>
          <w:szCs w:val="32"/>
          <w:lang w:val="en-US" w:eastAsia="zh-CN"/>
        </w:rPr>
        <w:t>以价格从低到高</w:t>
      </w:r>
      <w:r>
        <w:rPr>
          <w:rFonts w:hint="eastAsia" w:ascii="仿宋_GB2312" w:hAnsi="Times New Roman" w:eastAsia="仿宋_GB2312" w:cs="Times New Roman"/>
          <w:color w:val="000000"/>
          <w:sz w:val="32"/>
          <w:szCs w:val="32"/>
        </w:rPr>
        <w:t>排序。</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（3）每个</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标人可</w:t>
      </w:r>
      <w:r>
        <w:rPr>
          <w:rFonts w:hint="eastAsia" w:ascii="仿宋_GB2312" w:hAnsi="Times New Roman" w:eastAsia="仿宋_GB2312" w:cs="Times New Roman"/>
          <w:sz w:val="32"/>
          <w:szCs w:val="32"/>
          <w:lang w:eastAsia="zh-CN"/>
        </w:rPr>
        <w:t>投</w:t>
      </w:r>
      <w:r>
        <w:rPr>
          <w:rFonts w:hint="default" w:ascii="仿宋_GB2312" w:hAnsi="Times New Roman" w:eastAsia="仿宋_GB2312" w:cs="Times New Roman"/>
          <w:sz w:val="32"/>
          <w:szCs w:val="32"/>
        </w:rPr>
        <w:t>标</w:t>
      </w:r>
      <w:r>
        <w:rPr>
          <w:rFonts w:hint="eastAsia" w:ascii="仿宋_GB2312" w:hAnsi="Times New Roman" w:eastAsia="仿宋_GB2312" w:cs="Times New Roman"/>
          <w:sz w:val="32"/>
          <w:szCs w:val="32"/>
        </w:rPr>
        <w:t>一种或多种产品，但每种产品最多只能参与两个标的</w:t>
      </w:r>
      <w:r>
        <w:rPr>
          <w:rFonts w:hint="eastAsia" w:ascii="仿宋_GB2312" w:hAnsi="Times New Roman" w:eastAsia="仿宋_GB2312" w:cs="Times New Roman"/>
          <w:sz w:val="32"/>
          <w:szCs w:val="32"/>
          <w:lang w:eastAsia="zh-CN"/>
        </w:rPr>
        <w:t>投</w:t>
      </w:r>
      <w:r>
        <w:rPr>
          <w:rFonts w:hint="default" w:ascii="仿宋_GB2312" w:hAnsi="Times New Roman" w:eastAsia="仿宋_GB2312" w:cs="Times New Roman"/>
          <w:sz w:val="32"/>
          <w:szCs w:val="32"/>
        </w:rPr>
        <w:t>标</w:t>
      </w:r>
      <w:r>
        <w:rPr>
          <w:rFonts w:hint="eastAsia" w:ascii="仿宋_GB2312" w:hAnsi="Times New Roman" w:eastAsia="仿宋_GB2312" w:cs="Times New Roman"/>
          <w:sz w:val="32"/>
          <w:szCs w:val="32"/>
          <w:lang w:eastAsia="zh-CN"/>
        </w:rPr>
        <w:t>，每个投标单位总投</w:t>
      </w:r>
      <w:r>
        <w:rPr>
          <w:rFonts w:hint="default" w:ascii="仿宋_GB2312" w:hAnsi="Times New Roman" w:eastAsia="仿宋_GB2312" w:cs="Times New Roman"/>
          <w:sz w:val="32"/>
          <w:szCs w:val="32"/>
        </w:rPr>
        <w:t>标</w:t>
      </w:r>
      <w:r>
        <w:rPr>
          <w:rFonts w:hint="eastAsia" w:ascii="仿宋_GB2312" w:hAnsi="Times New Roman" w:eastAsia="仿宋_GB2312" w:cs="Times New Roman"/>
          <w:sz w:val="32"/>
          <w:szCs w:val="32"/>
        </w:rPr>
        <w:t>量不得超过6万吨</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标人法定代表人或其授权委托代理人签名并加盖公章。</w:t>
      </w:r>
    </w:p>
    <w:p>
      <w:pPr>
        <w:spacing w:line="56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（5）报价高于最高限价(开标当天公示)的或</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份数高于最高</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份数的，为无效报价；</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报价单如有计算错误或不按公告载明的交易量进行报价的，为无效报价。</w:t>
      </w:r>
    </w:p>
    <w:p>
      <w:pPr>
        <w:spacing w:line="56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招标交易编号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标人如中标，在合同履约期间价格保持不变，不因市场波动而调价，因市场价格波动引起的风险由双方各自承担。</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sz w:val="32"/>
          <w:szCs w:val="32"/>
        </w:rPr>
        <w:t>元/吨从履约保证金中扣除，最高为履约保证金扣完为止。</w:t>
      </w:r>
      <w:r>
        <w:rPr>
          <w:rFonts w:hint="eastAsia" w:ascii="仿宋_GB2312" w:hAnsi="仿宋_GB2312" w:eastAsia="仿宋_GB2312" w:cs="仿宋_GB2312"/>
          <w:color w:val="auto"/>
          <w:sz w:val="32"/>
          <w:szCs w:val="32"/>
        </w:rPr>
        <w:t>因公司遇到国家法律法规、政策、疫情原因等特殊情况导致减产或库满而要求中标单位减量供应或延时供货的，</w:t>
      </w:r>
      <w:r>
        <w:rPr>
          <w:rFonts w:hint="default" w:ascii="仿宋_GB2312" w:hAnsi="仿宋_GB2312" w:eastAsia="仿宋_GB2312" w:cs="仿宋_GB2312"/>
          <w:color w:val="auto"/>
          <w:sz w:val="32"/>
          <w:szCs w:val="32"/>
        </w:rPr>
        <w:t>招标</w:t>
      </w:r>
      <w:r>
        <w:rPr>
          <w:rFonts w:hint="eastAsia" w:ascii="仿宋_GB2312" w:hAnsi="仿宋_GB2312" w:eastAsia="仿宋_GB2312" w:cs="仿宋_GB2312"/>
          <w:color w:val="auto"/>
          <w:sz w:val="32"/>
          <w:szCs w:val="32"/>
        </w:rPr>
        <w:t>人不以减量或延时供货原因调整价格。</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pPr>
      <w:r>
        <w:rPr>
          <w:rFonts w:hint="eastAsia" w:ascii="仿宋_GB2312" w:hAnsi="仿宋_GB2312" w:eastAsia="仿宋_GB2312" w:cs="仿宋_GB2312"/>
          <w:sz w:val="32"/>
          <w:szCs w:val="32"/>
        </w:rPr>
        <w:t>4.交货地点</w:t>
      </w: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南京经济技术开发区</w:t>
            </w:r>
            <w:r>
              <w:rPr>
                <w:rFonts w:hint="default"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r>
              <w:rPr>
                <w:rFonts w:hint="eastAsia" w:ascii="宋体" w:hAnsi="宋体" w:eastAsia="宋体" w:cs="宋体"/>
                <w:sz w:val="24"/>
                <w:szCs w:val="24"/>
              </w:rPr>
              <w:t>关门桥</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南京市六合区关门桥路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恒江港</w:t>
            </w:r>
          </w:p>
        </w:tc>
        <w:tc>
          <w:tcPr>
            <w:tcW w:w="555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南京市雨花区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大道河</w:t>
            </w:r>
          </w:p>
        </w:tc>
        <w:tc>
          <w:tcPr>
            <w:tcW w:w="555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镇江市下蜀镇</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①如出现</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标人报价相同的情况，对相同报价的</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②公司设定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标人报价文件，并宣读</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标人名称、报价及</w:t>
      </w:r>
      <w:r>
        <w:rPr>
          <w:rFonts w:hint="eastAsia" w:ascii="仿宋_GB2312" w:hAnsi="仿宋_GB2312" w:eastAsia="仿宋_GB2312" w:cs="仿宋_GB2312"/>
          <w:sz w:val="32"/>
          <w:szCs w:val="32"/>
          <w:lang w:eastAsia="zh-CN"/>
        </w:rPr>
        <w:t>投</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标人在</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标评审原则确定</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标产品的竞得人及其报价、</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w:t>
      </w:r>
      <w:r>
        <w:rPr>
          <w:rFonts w:hint="default" w:ascii="仿宋_GB2312" w:hAnsi="Times New Roman" w:eastAsia="仿宋_GB2312" w:cs="Times New Roman"/>
          <w:color w:val="000000" w:themeColor="text1"/>
          <w:sz w:val="32"/>
          <w:szCs w:val="32"/>
          <w14:textFill>
            <w14:solidFill>
              <w14:schemeClr w14:val="tx1"/>
            </w14:solidFill>
          </w14:textFill>
        </w:rPr>
        <w:t>招标</w:t>
      </w:r>
      <w:r>
        <w:rPr>
          <w:rFonts w:hint="eastAsia" w:ascii="仿宋_GB2312" w:hAnsi="Times New Roman" w:eastAsia="仿宋_GB2312" w:cs="Times New Roman"/>
          <w:color w:val="000000" w:themeColor="text1"/>
          <w:sz w:val="32"/>
          <w:szCs w:val="32"/>
          <w14:textFill>
            <w14:solidFill>
              <w14:schemeClr w14:val="tx1"/>
            </w14:solidFill>
          </w14:textFill>
        </w:rPr>
        <w:t>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标人须知</w:t>
      </w:r>
    </w:p>
    <w:p>
      <w:pPr>
        <w:spacing w:line="560" w:lineRule="exact"/>
        <w:ind w:firstLine="640" w:firstLineChars="200"/>
        <w:rPr>
          <w:rFonts w:ascii="仿宋_GB2312" w:hAnsi="仿宋_GB2312" w:eastAsia="仿宋_GB2312" w:cs="仿宋_GB2312"/>
          <w:sz w:val="32"/>
          <w:szCs w:val="32"/>
        </w:rPr>
      </w:pPr>
      <w:bookmarkStart w:id="0" w:name="_Toc76726855"/>
      <w:bookmarkStart w:id="1" w:name="_Toc76404421"/>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标人须为法人企业。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w:t>
      </w:r>
    </w:p>
    <w:p>
      <w:pPr>
        <w:spacing w:line="560" w:lineRule="exact"/>
        <w:ind w:firstLine="640" w:firstLineChars="200"/>
        <w:rPr>
          <w:rFonts w:ascii="仿宋_GB2312" w:hAnsi="Times New Roman" w:eastAsia="仿宋_GB2312" w:cs="Times New Roman"/>
          <w:sz w:val="32"/>
          <w:szCs w:val="32"/>
        </w:rPr>
      </w:pPr>
      <w:bookmarkStart w:id="2" w:name="_Toc76726856"/>
      <w:bookmarkStart w:id="3" w:name="_Toc76404422"/>
      <w:r>
        <w:rPr>
          <w:rFonts w:hint="eastAsia" w:ascii="仿宋_GB2312" w:hAnsi="仿宋_GB2312" w:eastAsia="仿宋_GB2312" w:cs="仿宋_GB2312"/>
          <w:sz w:val="32"/>
          <w:szCs w:val="32"/>
        </w:rPr>
        <w:t>⑤首次参加公司</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标的</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人身份证与授权委托书、授权委托代理人身份证。以上资料需提交进行核验（法定代表人参与投标无需提供3、4项），并提供加盖公章且由法定代表人（或授权委托代理人）签名的复印件，在</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 xml:space="preserve">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⑥已参与公司前期</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标交易的合格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标人（以下称为有效期内的合格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标人），若继续报名参与后续</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 xml:space="preserve">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标人的资格有效期为12个月。有效期内经查实合格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标人有重大变更情况后不符合资格预审要求，本公司将取消其合格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标人资格。</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保证金的交纳与处置</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每个</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标人每次参与</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标时须交纳</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标保证金，每种产品</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标保证金为人民币</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万元。未竞得人的</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标保证金，公司在</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标交易结果公布后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个工作日内，一次性无息退还；竞得人的</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标保证金转为履约保证金，在竞得人本期标的正常履约结束后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个工作日内无息退还履约保证金。</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标资格，</w:t>
      </w:r>
      <w:r>
        <w:rPr>
          <w:rFonts w:hint="eastAsia" w:ascii="仿宋_GB2312" w:hAnsi="Times New Roman" w:eastAsia="仿宋_GB2312" w:cs="Times New Roman"/>
          <w:sz w:val="32"/>
          <w:szCs w:val="32"/>
          <w:lang w:eastAsia="zh-CN"/>
        </w:rPr>
        <w:t>投</w:t>
      </w:r>
      <w:r>
        <w:rPr>
          <w:rFonts w:ascii="仿宋_GB2312" w:hAnsi="Times New Roman" w:eastAsia="仿宋_GB2312" w:cs="Times New Roman"/>
          <w:sz w:val="32"/>
          <w:szCs w:val="32"/>
        </w:rPr>
        <w:t>标</w:t>
      </w:r>
      <w:r>
        <w:rPr>
          <w:rFonts w:hint="eastAsia" w:ascii="仿宋_GB2312" w:hAnsi="Times New Roman" w:eastAsia="仿宋_GB2312" w:cs="Times New Roman"/>
          <w:sz w:val="32"/>
          <w:szCs w:val="32"/>
        </w:rPr>
        <w:t>保证金不予退还。</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pStyle w:val="2"/>
      </w:pPr>
    </w:p>
    <w:p>
      <w:pPr>
        <w:spacing w:line="560" w:lineRule="exact"/>
        <w:ind w:firstLine="4160" w:firstLineChars="13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南京中联混凝土有限公司</w:t>
      </w: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line="560" w:lineRule="exact"/>
        <w:ind w:firstLine="640" w:firstLineChars="200"/>
        <w:jc w:val="right"/>
        <w:rPr>
          <w:rFonts w:hint="eastAsia" w:ascii="仿宋_GB2312" w:hAnsi="Times New Roman" w:eastAsia="仿宋_GB2312" w:cs="Times New Roman"/>
          <w:color w:val="auto"/>
          <w:sz w:val="32"/>
          <w:szCs w:val="32"/>
        </w:rPr>
      </w:pPr>
    </w:p>
    <w:p>
      <w:pPr>
        <w:spacing w:line="560" w:lineRule="exact"/>
        <w:ind w:firstLine="640" w:firstLineChars="200"/>
        <w:jc w:val="right"/>
        <w:rPr>
          <w:rFonts w:hint="eastAsia" w:ascii="仿宋_GB2312" w:hAnsi="Times New Roman" w:eastAsia="仿宋_GB2312" w:cs="Times New Roman"/>
          <w:color w:val="auto"/>
          <w:sz w:val="32"/>
          <w:szCs w:val="32"/>
        </w:rPr>
      </w:pPr>
    </w:p>
    <w:p>
      <w:pPr>
        <w:spacing w:line="560" w:lineRule="exact"/>
        <w:jc w:val="left"/>
        <w:rPr>
          <w:rFonts w:hint="eastAsia" w:asciiTheme="majorEastAsia" w:hAnsiTheme="majorEastAsia" w:eastAsiaTheme="majorEastAsia"/>
          <w:b/>
          <w:bCs/>
          <w:color w:val="auto"/>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仿宋_GB2312" w:hAnsi="Times New Roman" w:eastAsia="仿宋_GB2312" w:cs="Times New Roman"/>
          <w:sz w:val="32"/>
          <w:szCs w:val="32"/>
        </w:rPr>
      </w:pPr>
      <w:r>
        <w:rPr>
          <w:rFonts w:hint="eastAsia" w:asciiTheme="majorEastAsia" w:hAnsiTheme="majorEastAsia" w:eastAsiaTheme="majorEastAsia"/>
          <w:b/>
          <w:bCs/>
          <w:sz w:val="32"/>
          <w:szCs w:val="32"/>
        </w:rPr>
        <w:t>附件</w:t>
      </w:r>
      <w:r>
        <w:rPr>
          <w:rFonts w:hint="eastAsia" w:asciiTheme="majorEastAsia" w:hAnsiTheme="majorEastAsia" w:eastAsiaTheme="majorEastAsia"/>
          <w:b/>
          <w:bCs/>
          <w:sz w:val="32"/>
          <w:szCs w:val="32"/>
          <w:lang w:val="en-US" w:eastAsia="zh-CN"/>
        </w:rPr>
        <w:t>2</w:t>
      </w:r>
      <w:r>
        <w:rPr>
          <w:rFonts w:hint="eastAsia" w:asciiTheme="majorEastAsia" w:hAnsiTheme="majorEastAsia" w:eastAsiaTheme="majorEastAsia"/>
          <w:b/>
          <w:bCs/>
          <w:sz w:val="32"/>
          <w:szCs w:val="32"/>
        </w:rPr>
        <w:t>：</w:t>
      </w:r>
    </w:p>
    <w:p>
      <w:pPr>
        <w:spacing w:line="560" w:lineRule="exact"/>
        <w:ind w:firstLine="640" w:firstLineChars="200"/>
        <w:jc w:val="right"/>
        <w:rPr>
          <w:rFonts w:hint="eastAsia" w:ascii="仿宋_GB2312" w:hAnsi="Times New Roman" w:eastAsia="仿宋_GB2312" w:cs="Times New Roman"/>
          <w:sz w:val="32"/>
          <w:szCs w:val="32"/>
        </w:rPr>
      </w:pPr>
    </w:p>
    <w:p>
      <w:pPr>
        <w:spacing w:line="560" w:lineRule="exact"/>
        <w:ind w:left="0" w:leftChars="0" w:firstLine="0" w:firstLineChars="0"/>
        <w:jc w:val="center"/>
        <w:rPr>
          <w:rFonts w:ascii="宋体" w:hAnsi="宋体" w:eastAsia="宋体" w:cs="宋体"/>
          <w:sz w:val="36"/>
          <w:szCs w:val="36"/>
        </w:rPr>
      </w:pPr>
      <w:r>
        <w:rPr>
          <w:rFonts w:hint="eastAsia" w:ascii="宋体" w:hAnsi="宋体" w:eastAsia="宋体" w:cs="宋体"/>
          <w:b/>
          <w:kern w:val="0"/>
          <w:sz w:val="36"/>
          <w:szCs w:val="36"/>
        </w:rPr>
        <w:t>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color w:val="auto"/>
          <w:kern w:val="0"/>
          <w:sz w:val="32"/>
          <w:szCs w:val="32"/>
        </w:rPr>
        <w:t>ZLSS-202</w:t>
      </w:r>
      <w:r>
        <w:rPr>
          <w:rFonts w:hint="default"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u w:val="single"/>
        </w:rPr>
        <w:t xml:space="preserve"> 00</w:t>
      </w:r>
      <w:r>
        <w:rPr>
          <w:rFonts w:hint="eastAsia" w:ascii="仿宋_GB2312" w:hAnsi="仿宋_GB2312" w:eastAsia="仿宋_GB2312" w:cs="仿宋_GB2312"/>
          <w:color w:val="auto"/>
          <w:kern w:val="0"/>
          <w:sz w:val="32"/>
          <w:szCs w:val="32"/>
          <w:u w:val="single"/>
          <w:lang w:val="en-US" w:eastAsia="zh-CN"/>
        </w:rPr>
        <w:t>5</w:t>
      </w:r>
      <w:r>
        <w:rPr>
          <w:rFonts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rPr>
        <w:t>期砂石产品</w:t>
      </w:r>
      <w:r>
        <w:rPr>
          <w:rFonts w:hint="default" w:ascii="仿宋_GB2312" w:hAnsi="仿宋_GB2312" w:eastAsia="仿宋_GB2312" w:cs="仿宋_GB2312"/>
          <w:kern w:val="0"/>
          <w:sz w:val="32"/>
          <w:szCs w:val="32"/>
        </w:rPr>
        <w:t>招标</w:t>
      </w:r>
      <w:r>
        <w:rPr>
          <w:rFonts w:hint="eastAsia" w:ascii="仿宋_GB2312" w:hAnsi="仿宋_GB2312" w:eastAsia="仿宋_GB2312" w:cs="仿宋_GB2312"/>
          <w:kern w:val="0"/>
          <w:sz w:val="32"/>
          <w:szCs w:val="32"/>
        </w:rPr>
        <w:t>交易的全部业务，代理权限为特别授权，包括但不限于</w:t>
      </w:r>
      <w:r>
        <w:rPr>
          <w:rFonts w:hint="eastAsia" w:ascii="仿宋_GB2312" w:hAnsi="仿宋_GB2312" w:eastAsia="仿宋_GB2312" w:cs="仿宋_GB2312"/>
          <w:kern w:val="0"/>
          <w:sz w:val="32"/>
          <w:szCs w:val="32"/>
          <w:u w:val="single"/>
        </w:rPr>
        <w:t>资格预审、存取</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保证金、</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报价等活动，并签署资格预审、报价函及</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Theme="majorEastAsia" w:hAnsiTheme="majorEastAsia" w:eastAsiaTheme="majorEastAsia"/>
          <w:b/>
          <w:bCs/>
          <w:sz w:val="32"/>
          <w:szCs w:val="32"/>
        </w:rPr>
      </w:pPr>
      <w:r>
        <w:rPr>
          <w:rFonts w:hint="eastAsia" w:ascii="仿宋_GB2312" w:hAnsi="仿宋_GB2312" w:eastAsia="仿宋_GB2312" w:cs="仿宋_GB2312"/>
          <w:kern w:val="0"/>
          <w:sz w:val="32"/>
          <w:szCs w:val="32"/>
        </w:rPr>
        <w:t>签发日期：202</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w:t>
      </w:r>
      <w:r>
        <w:rPr>
          <w:rFonts w:hint="eastAsia" w:asciiTheme="majorEastAsia" w:hAnsiTheme="majorEastAsia" w:eastAsiaTheme="majorEastAsia"/>
          <w:b/>
          <w:bCs/>
          <w:sz w:val="32"/>
          <w:szCs w:val="32"/>
          <w:lang w:val="en-US" w:eastAsia="zh-CN"/>
        </w:rPr>
        <w:t>3</w:t>
      </w:r>
      <w:r>
        <w:rPr>
          <w:rFonts w:hint="eastAsia" w:asciiTheme="majorEastAsia" w:hAnsiTheme="majorEastAsia" w:eastAsiaTheme="majorEastAsia"/>
          <w:b/>
          <w:bCs/>
          <w:sz w:val="32"/>
          <w:szCs w:val="32"/>
        </w:rPr>
        <w:t>：</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w:t>
      </w:r>
      <w:r>
        <w:rPr>
          <w:rFonts w:hint="default" w:ascii="仿宋_GB2312" w:hAnsi="仿宋_GB2312" w:eastAsia="仿宋_GB2312" w:cs="仿宋_GB2312"/>
          <w:kern w:val="0"/>
          <w:sz w:val="32"/>
          <w:szCs w:val="32"/>
        </w:rPr>
        <w:t>招</w:t>
      </w:r>
      <w:r>
        <w:rPr>
          <w:rFonts w:hint="eastAsia" w:ascii="仿宋_GB2312" w:hAnsi="仿宋_GB2312" w:eastAsia="仿宋_GB2312" w:cs="仿宋_GB2312"/>
          <w:kern w:val="0"/>
          <w:sz w:val="32"/>
          <w:szCs w:val="32"/>
        </w:rPr>
        <w:t>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标保证金并接受贵公司对</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标保证金处置的条款，严格遵守本次</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招标</w:t>
      </w:r>
      <w:r>
        <w:rPr>
          <w:rFonts w:hint="eastAsia" w:ascii="仿宋_GB2312" w:hAnsi="仿宋_GB2312" w:eastAsia="仿宋_GB2312" w:cs="仿宋_GB2312"/>
          <w:kern w:val="0"/>
          <w:sz w:val="32"/>
          <w:szCs w:val="32"/>
        </w:rPr>
        <w:t>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4</w:t>
      </w:r>
      <w:r>
        <w:rPr>
          <w:rFonts w:hint="eastAsia" w:asciiTheme="majorEastAsia" w:hAnsiTheme="majorEastAsia" w:eastAsiaTheme="majorEastAsia" w:cstheme="minorBidi"/>
        </w:rPr>
        <w:t>：</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w:t>
      </w:r>
      <w:r>
        <w:rPr>
          <w:rFonts w:hint="eastAsia" w:ascii="仿宋" w:hAnsi="仿宋" w:eastAsia="仿宋" w:cs="宋体"/>
          <w:sz w:val="32"/>
          <w:szCs w:val="32"/>
          <w:lang w:eastAsia="zh-CN"/>
        </w:rPr>
        <w:t>价</w:t>
      </w:r>
      <w:r>
        <w:rPr>
          <w:rFonts w:hint="eastAsia" w:ascii="仿宋" w:hAnsi="仿宋" w:eastAsia="仿宋" w:cs="宋体"/>
          <w:sz w:val="32"/>
          <w:szCs w:val="32"/>
        </w:rPr>
        <w:t>交易（</w:t>
      </w:r>
      <w:r>
        <w:rPr>
          <w:rFonts w:hint="eastAsia" w:ascii="仿宋" w:hAnsi="仿宋" w:eastAsia="仿宋" w:cs="宋体"/>
          <w:color w:val="FF0000"/>
          <w:sz w:val="32"/>
          <w:szCs w:val="32"/>
        </w:rPr>
        <w:t>ZLSS</w:t>
      </w:r>
      <w:r>
        <w:rPr>
          <w:rFonts w:ascii="仿宋" w:hAnsi="仿宋" w:eastAsia="仿宋" w:cs="宋体"/>
          <w:color w:val="FF0000"/>
          <w:sz w:val="32"/>
          <w:szCs w:val="32"/>
        </w:rPr>
        <w:t>-2023-</w:t>
      </w:r>
      <w:r>
        <w:rPr>
          <w:rFonts w:hint="eastAsia" w:ascii="仿宋" w:hAnsi="仿宋" w:eastAsia="仿宋" w:cs="宋体"/>
          <w:color w:val="FF0000"/>
          <w:sz w:val="32"/>
          <w:szCs w:val="32"/>
          <w:u w:val="single"/>
          <w:lang w:val="en-US" w:eastAsia="zh-CN"/>
        </w:rPr>
        <w:t>005</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w:t>
      </w:r>
      <w:r>
        <w:rPr>
          <w:rFonts w:hint="default" w:ascii="仿宋" w:hAnsi="仿宋" w:eastAsia="仿宋" w:cs="仿宋"/>
          <w:sz w:val="32"/>
          <w:szCs w:val="32"/>
        </w:rPr>
        <w:t>招标</w:t>
      </w:r>
      <w:r>
        <w:rPr>
          <w:rFonts w:hint="eastAsia" w:ascii="仿宋" w:hAnsi="仿宋" w:eastAsia="仿宋" w:cs="仿宋"/>
          <w:sz w:val="32"/>
          <w:szCs w:val="32"/>
        </w:rPr>
        <w:t>采购实施办法》和编号：</w:t>
      </w:r>
      <w:r>
        <w:rPr>
          <w:rFonts w:hint="eastAsia" w:ascii="仿宋" w:hAnsi="仿宋" w:eastAsia="仿宋" w:cs="仿宋"/>
          <w:color w:val="FF0000"/>
          <w:sz w:val="32"/>
          <w:szCs w:val="32"/>
        </w:rPr>
        <w:t>ZLSS-</w:t>
      </w:r>
      <w:r>
        <w:rPr>
          <w:rFonts w:hint="default" w:ascii="仿宋" w:hAnsi="仿宋" w:eastAsia="仿宋" w:cs="仿宋"/>
          <w:color w:val="FF0000"/>
          <w:sz w:val="32"/>
          <w:szCs w:val="32"/>
        </w:rPr>
        <w:t>2023</w:t>
      </w:r>
      <w:r>
        <w:rPr>
          <w:rFonts w:hint="eastAsia" w:ascii="仿宋" w:hAnsi="仿宋" w:eastAsia="仿宋" w:cs="仿宋"/>
          <w:color w:val="FF0000"/>
          <w:sz w:val="32"/>
          <w:szCs w:val="32"/>
        </w:rPr>
        <w:t>-</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u w:val="single"/>
          <w:lang w:val="en-US" w:eastAsia="zh-CN"/>
        </w:rPr>
        <w:t>005</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rPr>
        <w:t>期</w:t>
      </w:r>
      <w:r>
        <w:rPr>
          <w:rFonts w:hint="eastAsia" w:ascii="仿宋" w:hAnsi="仿宋" w:eastAsia="仿宋" w:cs="仿宋"/>
          <w:sz w:val="32"/>
          <w:szCs w:val="32"/>
        </w:rPr>
        <w:t>《</w:t>
      </w:r>
      <w:r>
        <w:rPr>
          <w:rFonts w:hint="default" w:ascii="仿宋" w:hAnsi="仿宋" w:eastAsia="仿宋" w:cs="仿宋"/>
          <w:sz w:val="32"/>
          <w:szCs w:val="32"/>
        </w:rPr>
        <w:t>招标</w:t>
      </w:r>
      <w:r>
        <w:rPr>
          <w:rFonts w:hint="eastAsia" w:ascii="仿宋" w:hAnsi="仿宋" w:eastAsia="仿宋" w:cs="仿宋"/>
          <w:sz w:val="32"/>
          <w:szCs w:val="32"/>
        </w:rPr>
        <w:t>交易公告》</w:t>
      </w:r>
      <w:r>
        <w:rPr>
          <w:rFonts w:hint="eastAsia" w:ascii="仿宋" w:hAnsi="仿宋" w:eastAsia="仿宋" w:cs="宋体"/>
          <w:sz w:val="32"/>
          <w:szCs w:val="32"/>
        </w:rPr>
        <w:t>的全部内容，接受上述文件中的所有规定及要求，提交了合格的资格预审所需资料及</w:t>
      </w:r>
      <w:r>
        <w:rPr>
          <w:rFonts w:hint="default" w:ascii="仿宋" w:hAnsi="仿宋" w:eastAsia="仿宋" w:cs="宋体"/>
          <w:sz w:val="32"/>
          <w:szCs w:val="32"/>
        </w:rPr>
        <w:t>招标</w:t>
      </w:r>
      <w:r>
        <w:rPr>
          <w:rFonts w:hint="eastAsia" w:ascii="仿宋" w:hAnsi="仿宋" w:eastAsia="仿宋" w:cs="宋体"/>
          <w:sz w:val="32"/>
          <w:szCs w:val="32"/>
        </w:rPr>
        <w:t>交易承诺书，按要求交纳了</w:t>
      </w:r>
      <w:r>
        <w:rPr>
          <w:rFonts w:ascii="仿宋" w:hAnsi="仿宋" w:eastAsia="仿宋" w:cs="宋体"/>
          <w:sz w:val="32"/>
          <w:szCs w:val="32"/>
        </w:rPr>
        <w:t>招标</w:t>
      </w:r>
      <w:r>
        <w:rPr>
          <w:rFonts w:hint="eastAsia" w:ascii="仿宋" w:hAnsi="仿宋" w:eastAsia="仿宋" w:cs="宋体"/>
          <w:sz w:val="32"/>
          <w:szCs w:val="32"/>
        </w:rPr>
        <w:t>保证金，获得了参与本期产品</w:t>
      </w:r>
      <w:r>
        <w:rPr>
          <w:rFonts w:hint="default" w:ascii="仿宋" w:hAnsi="仿宋" w:eastAsia="仿宋" w:cs="宋体"/>
          <w:sz w:val="32"/>
          <w:szCs w:val="32"/>
        </w:rPr>
        <w:t>招标</w:t>
      </w:r>
      <w:r>
        <w:rPr>
          <w:rFonts w:hint="eastAsia" w:ascii="仿宋" w:hAnsi="仿宋" w:eastAsia="仿宋" w:cs="宋体"/>
          <w:sz w:val="32"/>
          <w:szCs w:val="32"/>
        </w:rPr>
        <w:t>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w:t>
      </w:r>
      <w:r>
        <w:rPr>
          <w:rFonts w:hint="eastAsia" w:ascii="仿宋" w:hAnsi="仿宋" w:eastAsia="仿宋" w:cs="宋体"/>
          <w:color w:val="FF0000"/>
          <w:sz w:val="32"/>
          <w:szCs w:val="32"/>
        </w:rPr>
        <w:t>ZLSS</w:t>
      </w:r>
      <w:r>
        <w:rPr>
          <w:rFonts w:ascii="仿宋" w:hAnsi="仿宋" w:eastAsia="仿宋" w:cs="宋体"/>
          <w:color w:val="FF0000"/>
          <w:sz w:val="32"/>
          <w:szCs w:val="32"/>
        </w:rPr>
        <w:t>-2023-</w:t>
      </w:r>
      <w:r>
        <w:rPr>
          <w:rFonts w:hint="eastAsia" w:ascii="仿宋" w:hAnsi="仿宋" w:eastAsia="仿宋" w:cs="宋体"/>
          <w:color w:val="FF0000"/>
          <w:sz w:val="32"/>
          <w:szCs w:val="32"/>
          <w:u w:val="single"/>
        </w:rPr>
        <w:t xml:space="preserve"> </w:t>
      </w:r>
      <w:r>
        <w:rPr>
          <w:rFonts w:hint="default" w:ascii="仿宋" w:hAnsi="仿宋" w:eastAsia="仿宋" w:cs="宋体"/>
          <w:color w:val="FF0000"/>
          <w:sz w:val="32"/>
          <w:szCs w:val="32"/>
          <w:u w:val="single"/>
        </w:rPr>
        <w:t>00</w:t>
      </w:r>
      <w:r>
        <w:rPr>
          <w:rFonts w:hint="eastAsia" w:ascii="仿宋" w:hAnsi="仿宋" w:eastAsia="仿宋" w:cs="宋体"/>
          <w:color w:val="FF0000"/>
          <w:sz w:val="32"/>
          <w:szCs w:val="32"/>
          <w:u w:val="single"/>
          <w:lang w:val="en-US" w:eastAsia="zh-CN"/>
        </w:rPr>
        <w:t xml:space="preserve">5 </w:t>
      </w:r>
      <w:r>
        <w:rPr>
          <w:rFonts w:ascii="仿宋" w:hAnsi="仿宋" w:eastAsia="仿宋" w:cs="宋体"/>
          <w:color w:val="FF0000"/>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 xml:space="preserve">日    期： </w:t>
      </w:r>
      <w:r>
        <w:rPr>
          <w:rFonts w:hint="default" w:ascii="仿宋" w:hAnsi="仿宋" w:eastAsia="仿宋" w:cs="宋体"/>
          <w:kern w:val="0"/>
          <w:sz w:val="28"/>
          <w:szCs w:val="28"/>
        </w:rPr>
        <w:t>2023</w:t>
      </w:r>
      <w:r>
        <w:rPr>
          <w:rFonts w:hint="eastAsia" w:ascii="仿宋" w:hAnsi="仿宋" w:eastAsia="仿宋" w:cs="宋体"/>
          <w:kern w:val="0"/>
          <w:sz w:val="28"/>
          <w:szCs w:val="28"/>
        </w:rPr>
        <w:t>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ascii="宋体" w:hAnsi="宋体"/>
          <w:b/>
          <w:sz w:val="44"/>
          <w:szCs w:val="44"/>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rPr>
          <w:rFonts w:asciiTheme="majorEastAsia" w:hAnsiTheme="majorEastAsia" w:eastAsiaTheme="majorEastAsia" w:cstheme="minorBidi"/>
        </w:rPr>
      </w:pPr>
    </w:p>
    <w:p>
      <w:pPr>
        <w:widowControl/>
        <w:jc w:val="center"/>
        <w:rPr>
          <w:rFonts w:ascii="黑体" w:hAnsi="黑体" w:eastAsia="黑体" w:cs="宋体"/>
          <w:b/>
          <w:kern w:val="0"/>
          <w:szCs w:val="21"/>
        </w:rPr>
      </w:pPr>
    </w:p>
    <w:p>
      <w:pPr>
        <w:widowControl/>
        <w:jc w:val="center"/>
        <w:rPr>
          <w:rFonts w:ascii="黑体" w:hAnsi="黑体" w:eastAsia="黑体" w:cs="宋体"/>
          <w:b/>
          <w:kern w:val="0"/>
          <w:szCs w:val="21"/>
        </w:rPr>
      </w:pPr>
    </w:p>
    <w:p>
      <w:pPr>
        <w:widowControl/>
        <w:jc w:val="center"/>
        <w:rPr>
          <w:rFonts w:hint="eastAsia" w:ascii="黑体" w:hAnsi="黑体" w:eastAsia="黑体" w:cs="宋体"/>
          <w:b/>
          <w:kern w:val="0"/>
          <w:szCs w:val="21"/>
        </w:rPr>
      </w:pPr>
      <w:r>
        <w:rPr>
          <w:rFonts w:ascii="黑体" w:hAnsi="黑体" w:eastAsia="黑体" w:cs="宋体"/>
          <w:b/>
          <w:kern w:val="0"/>
          <w:szCs w:val="21"/>
        </w:rPr>
        <w:t>（文件袋</w:t>
      </w:r>
      <w:r>
        <w:rPr>
          <w:rFonts w:hint="eastAsia" w:ascii="黑体" w:hAnsi="黑体" w:eastAsia="黑体" w:cs="宋体"/>
          <w:b/>
          <w:kern w:val="0"/>
          <w:szCs w:val="21"/>
        </w:rPr>
        <w:t>封面）</w:t>
      </w:r>
    </w:p>
    <w:p>
      <w:pPr>
        <w:pStyle w:val="2"/>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5</w:t>
      </w:r>
      <w:r>
        <w:rPr>
          <w:rFonts w:hint="eastAsia" w:asciiTheme="majorEastAsia" w:hAnsiTheme="majorEastAsia" w:eastAsiaTheme="majorEastAsia" w:cstheme="minorBidi"/>
        </w:rPr>
        <w:t>：</w:t>
      </w:r>
    </w:p>
    <w:p>
      <w:pPr>
        <w:widowControl/>
        <w:tabs>
          <w:tab w:val="left" w:pos="1453"/>
        </w:tabs>
        <w:jc w:val="left"/>
        <w:rPr>
          <w:rFonts w:ascii="黑体" w:hAnsi="黑体" w:eastAsia="黑体" w:cs="宋体"/>
          <w:b/>
          <w:kern w:val="0"/>
          <w:sz w:val="44"/>
          <w:szCs w:val="44"/>
        </w:rPr>
      </w:pPr>
      <w:r>
        <w:rPr>
          <w:rFonts w:hint="eastAsia" w:ascii="黑体" w:hAnsi="黑体" w:eastAsia="黑体" w:cs="宋体"/>
          <w:b/>
          <w:kern w:val="0"/>
          <w:sz w:val="44"/>
          <w:szCs w:val="44"/>
        </w:rPr>
        <w:tab/>
      </w:r>
    </w:p>
    <w:p>
      <w:pPr>
        <w:widowControl/>
        <w:jc w:val="center"/>
        <w:rPr>
          <w:rFonts w:ascii="黑体" w:hAnsi="黑体" w:eastAsia="黑体"/>
          <w:sz w:val="44"/>
          <w:szCs w:val="44"/>
        </w:rPr>
      </w:pPr>
      <w:r>
        <w:rPr>
          <w:rFonts w:hint="eastAsia" w:ascii="黑体" w:hAnsi="黑体" w:eastAsia="黑体" w:cs="宋体"/>
          <w:b/>
          <w:kern w:val="0"/>
          <w:sz w:val="44"/>
          <w:szCs w:val="44"/>
        </w:rPr>
        <w:t>南京中联</w:t>
      </w:r>
      <w:r>
        <w:rPr>
          <w:rFonts w:hint="eastAsia" w:ascii="黑体" w:hAnsi="黑体" w:eastAsia="黑体" w:cs="MS Gothic"/>
          <w:b/>
          <w:kern w:val="0"/>
          <w:sz w:val="44"/>
          <w:szCs w:val="44"/>
        </w:rPr>
        <w:t>混凝土有限公司</w:t>
      </w:r>
    </w:p>
    <w:p>
      <w:pPr>
        <w:widowControl/>
        <w:jc w:val="center"/>
        <w:rPr>
          <w:rFonts w:ascii="黑体" w:hAnsi="黑体" w:eastAsia="黑体" w:cs="宋体"/>
          <w:b/>
          <w:kern w:val="0"/>
          <w:sz w:val="44"/>
          <w:szCs w:val="44"/>
        </w:rPr>
      </w:pPr>
    </w:p>
    <w:p>
      <w:pPr>
        <w:widowControl/>
        <w:jc w:val="center"/>
        <w:rPr>
          <w:rFonts w:ascii="黑体" w:hAnsi="黑体" w:eastAsia="黑体"/>
          <w:sz w:val="44"/>
          <w:szCs w:val="44"/>
        </w:rPr>
      </w:pPr>
      <w:r>
        <w:rPr>
          <w:rFonts w:hint="eastAsia" w:ascii="黑体" w:hAnsi="黑体" w:eastAsia="黑体" w:cs="宋体"/>
          <w:b/>
          <w:kern w:val="0"/>
          <w:sz w:val="44"/>
          <w:szCs w:val="44"/>
        </w:rPr>
        <w:t>砂石产</w:t>
      </w:r>
      <w:r>
        <w:rPr>
          <w:rFonts w:hint="eastAsia" w:ascii="黑体" w:hAnsi="黑体" w:eastAsia="黑体" w:cs="MS Gothic"/>
          <w:b/>
          <w:kern w:val="0"/>
          <w:sz w:val="44"/>
          <w:szCs w:val="44"/>
        </w:rPr>
        <w:t>品</w:t>
      </w:r>
      <w:r>
        <w:rPr>
          <w:rFonts w:hint="eastAsia" w:ascii="黑体" w:hAnsi="黑体" w:eastAsia="黑体" w:cs="宋体"/>
          <w:b/>
          <w:kern w:val="0"/>
          <w:sz w:val="44"/>
          <w:szCs w:val="44"/>
        </w:rPr>
        <w:t>报</w:t>
      </w:r>
      <w:r>
        <w:rPr>
          <w:rFonts w:hint="eastAsia" w:ascii="黑体" w:hAnsi="黑体" w:eastAsia="黑体" w:cs="MS Gothic"/>
          <w:b/>
          <w:kern w:val="0"/>
          <w:sz w:val="44"/>
          <w:szCs w:val="44"/>
        </w:rPr>
        <w:t>价文件</w:t>
      </w:r>
    </w:p>
    <w:p>
      <w:pPr>
        <w:widowControl/>
        <w:tabs>
          <w:tab w:val="left" w:pos="5520"/>
        </w:tabs>
        <w:jc w:val="center"/>
        <w:rPr>
          <w:rFonts w:ascii="宋体" w:hAnsi="宋体" w:eastAsia="宋体" w:cs="宋体"/>
          <w:b/>
          <w:kern w:val="0"/>
          <w:sz w:val="28"/>
          <w:szCs w:val="28"/>
        </w:rPr>
      </w:pPr>
    </w:p>
    <w:p>
      <w:pPr>
        <w:widowControl/>
        <w:tabs>
          <w:tab w:val="left" w:pos="5520"/>
        </w:tabs>
        <w:jc w:val="center"/>
        <w:rPr>
          <w:rFonts w:ascii="宋体" w:hAnsi="宋体" w:eastAsia="宋体" w:cs="宋体"/>
          <w:b/>
          <w:kern w:val="0"/>
          <w:sz w:val="28"/>
          <w:szCs w:val="28"/>
          <w:u w:val="single"/>
        </w:rPr>
      </w:pPr>
      <w:r>
        <w:rPr>
          <w:rFonts w:hint="eastAsia" w:ascii="宋体" w:hAnsi="宋体" w:eastAsia="宋体" w:cs="宋体"/>
          <w:b/>
          <w:kern w:val="0"/>
          <w:sz w:val="28"/>
          <w:szCs w:val="28"/>
        </w:rPr>
        <w:t>编号:ZLSS-</w:t>
      </w:r>
      <w:r>
        <w:rPr>
          <w:rFonts w:hint="default" w:ascii="宋体" w:hAnsi="宋体" w:eastAsia="宋体" w:cs="宋体"/>
          <w:b/>
          <w:kern w:val="0"/>
          <w:sz w:val="28"/>
          <w:szCs w:val="28"/>
        </w:rPr>
        <w:t>2023</w:t>
      </w:r>
      <w:r>
        <w:rPr>
          <w:rFonts w:hint="eastAsia" w:ascii="宋体" w:hAnsi="宋体" w:eastAsia="宋体" w:cs="宋体"/>
          <w:b/>
          <w:kern w:val="0"/>
          <w:sz w:val="28"/>
          <w:szCs w:val="28"/>
        </w:rPr>
        <w:t>-</w:t>
      </w:r>
      <w:r>
        <w:rPr>
          <w:rFonts w:hint="eastAsia" w:ascii="宋体" w:hAnsi="宋体" w:eastAsia="宋体" w:cs="宋体"/>
          <w:b/>
          <w:kern w:val="0"/>
          <w:sz w:val="28"/>
          <w:szCs w:val="28"/>
          <w:u w:val="single"/>
        </w:rPr>
        <w:t xml:space="preserve">  </w:t>
      </w:r>
      <w:r>
        <w:rPr>
          <w:rFonts w:ascii="宋体" w:hAnsi="宋体" w:eastAsia="宋体" w:cs="宋体"/>
          <w:b/>
          <w:kern w:val="0"/>
          <w:sz w:val="28"/>
          <w:szCs w:val="28"/>
          <w:u w:val="single"/>
        </w:rPr>
        <w:t>00</w:t>
      </w:r>
      <w:r>
        <w:rPr>
          <w:rFonts w:hint="eastAsia" w:ascii="宋体" w:hAnsi="宋体" w:eastAsia="宋体" w:cs="宋体"/>
          <w:b/>
          <w:kern w:val="0"/>
          <w:sz w:val="28"/>
          <w:szCs w:val="28"/>
          <w:u w:val="single"/>
          <w:lang w:val="en-US" w:eastAsia="zh-CN"/>
        </w:rPr>
        <w:t>5</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期</w:t>
      </w:r>
    </w:p>
    <w:p>
      <w:pPr>
        <w:pStyle w:val="2"/>
      </w:pPr>
    </w:p>
    <w:p>
      <w:pPr>
        <w:widowControl/>
        <w:jc w:val="left"/>
        <w:rPr>
          <w:rFonts w:ascii="宋体" w:hAnsi="宋体" w:eastAsia="宋体" w:cs="宋体"/>
          <w:b/>
          <w:kern w:val="0"/>
          <w:sz w:val="28"/>
          <w:szCs w:val="28"/>
        </w:rPr>
      </w:pPr>
    </w:p>
    <w:p>
      <w:pPr>
        <w:widowControl/>
        <w:jc w:val="left"/>
        <w:rPr>
          <w:rFonts w:cs="宋体" w:asciiTheme="minorEastAsia" w:hAnsiTheme="minorEastAsia"/>
          <w:b/>
          <w:kern w:val="0"/>
          <w:sz w:val="28"/>
          <w:szCs w:val="28"/>
        </w:rPr>
      </w:pPr>
    </w:p>
    <w:p>
      <w:pPr>
        <w:widowControl/>
        <w:jc w:val="center"/>
        <w:rPr>
          <w:rFonts w:asciiTheme="minorEastAsia" w:hAnsiTheme="minorEastAsia"/>
        </w:rPr>
      </w:pPr>
      <w:r>
        <w:rPr>
          <w:rFonts w:hint="eastAsia" w:cs="宋体" w:asciiTheme="minorEastAsia" w:hAnsiTheme="minorEastAsia"/>
          <w:b/>
          <w:kern w:val="0"/>
          <w:sz w:val="28"/>
          <w:szCs w:val="28"/>
        </w:rPr>
        <w:t>竞 标 人：</w:t>
      </w:r>
      <w:r>
        <w:rPr>
          <w:rFonts w:hint="eastAsia" w:cs="宋体" w:asciiTheme="minorEastAsia" w:hAnsiTheme="minorEastAsia"/>
          <w:b/>
          <w:kern w:val="0"/>
          <w:sz w:val="28"/>
          <w:szCs w:val="28"/>
          <w:u w:val="single"/>
          <w:lang w:val="en-US" w:eastAsia="zh-CN"/>
        </w:rPr>
        <w:t xml:space="preserve">                     </w:t>
      </w:r>
      <w:r>
        <w:rPr>
          <w:rFonts w:hint="eastAsia" w:cs="宋体" w:asciiTheme="minorEastAsia" w:hAnsiTheme="minorEastAsia"/>
          <w:b/>
          <w:kern w:val="0"/>
          <w:sz w:val="28"/>
          <w:szCs w:val="28"/>
        </w:rPr>
        <w:t>（盖单位章）</w:t>
      </w:r>
    </w:p>
    <w:p>
      <w:pPr>
        <w:widowControl/>
        <w:jc w:val="center"/>
        <w:rPr>
          <w:rFonts w:cs="宋体" w:asciiTheme="minorEastAsia" w:hAnsiTheme="minorEastAsia"/>
          <w:b/>
          <w:kern w:val="0"/>
          <w:sz w:val="28"/>
          <w:szCs w:val="28"/>
        </w:rPr>
      </w:pPr>
    </w:p>
    <w:p>
      <w:pPr>
        <w:widowControl/>
        <w:jc w:val="center"/>
        <w:rPr>
          <w:rFonts w:asciiTheme="minorEastAsia" w:hAnsiTheme="minorEastAsia"/>
        </w:rPr>
      </w:pPr>
      <w:r>
        <w:rPr>
          <w:rFonts w:hint="eastAsia" w:cs="宋体" w:asciiTheme="minorEastAsia" w:hAnsiTheme="minorEastAsia"/>
          <w:b/>
          <w:kern w:val="0"/>
          <w:sz w:val="28"/>
          <w:szCs w:val="28"/>
        </w:rPr>
        <w:t>法定代表人或其委托代理人：___________（签名）</w:t>
      </w:r>
    </w:p>
    <w:p>
      <w:pPr>
        <w:widowControl/>
        <w:jc w:val="center"/>
        <w:rPr>
          <w:rFonts w:cs="仿宋" w:asciiTheme="minorEastAsia" w:hAnsiTheme="minorEastAsia"/>
          <w:kern w:val="0"/>
          <w:sz w:val="28"/>
          <w:szCs w:val="28"/>
        </w:rPr>
      </w:pPr>
    </w:p>
    <w:p>
      <w:pPr>
        <w:widowControl/>
        <w:jc w:val="center"/>
        <w:rPr>
          <w:rFonts w:cs="仿宋" w:asciiTheme="minorEastAsia" w:hAnsiTheme="minorEastAsia"/>
          <w:kern w:val="0"/>
          <w:sz w:val="28"/>
          <w:szCs w:val="28"/>
        </w:rPr>
      </w:pPr>
    </w:p>
    <w:p>
      <w:pPr>
        <w:spacing w:line="560" w:lineRule="exact"/>
        <w:ind w:firstLine="640" w:firstLineChars="200"/>
        <w:jc w:val="center"/>
        <w:rPr>
          <w:rFonts w:ascii="仿宋_GB2312" w:hAnsi="仿宋_GB2312" w:eastAsia="仿宋_GB2312" w:cs="仿宋_GB2312"/>
          <w:sz w:val="32"/>
          <w:szCs w:val="32"/>
        </w:rPr>
      </w:pPr>
      <w:r>
        <w:rPr>
          <w:rFonts w:hint="default"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widowControl/>
        <w:jc w:val="left"/>
        <w:rPr>
          <w:rFonts w:cs="仿宋" w:asciiTheme="minorEastAsia" w:hAnsiTheme="minorEastAsia"/>
          <w:kern w:val="0"/>
          <w:sz w:val="28"/>
          <w:szCs w:val="28"/>
        </w:rPr>
      </w:pPr>
    </w:p>
    <w:p>
      <w:pPr>
        <w:widowControl/>
        <w:jc w:val="left"/>
        <w:rPr>
          <w:rFonts w:ascii="黑体" w:hAnsi="宋体" w:eastAsia="黑体" w:cs="黑体"/>
          <w:b/>
          <w:kern w:val="0"/>
          <w:sz w:val="31"/>
          <w:szCs w:val="31"/>
        </w:rPr>
      </w:pPr>
    </w:p>
    <w:p>
      <w:pPr>
        <w:rPr>
          <w:rFonts w:ascii="黑体" w:hAnsi="黑体" w:eastAsia="黑体" w:cs="Arial-BoldMT"/>
          <w:b/>
          <w:kern w:val="0"/>
          <w:sz w:val="36"/>
          <w:szCs w:val="36"/>
        </w:rPr>
      </w:pPr>
      <w:r>
        <w:rPr>
          <w:rFonts w:hint="eastAsia" w:ascii="黑体" w:hAnsi="黑体" w:eastAsia="黑体" w:cs="Arial-BoldMT"/>
          <w:b/>
          <w:kern w:val="0"/>
          <w:sz w:val="36"/>
          <w:szCs w:val="36"/>
        </w:rPr>
        <w:br w:type="page"/>
      </w:r>
    </w:p>
    <w:p>
      <w:pPr>
        <w:rPr>
          <w:rFonts w:asciiTheme="minorEastAsia" w:hAnsiTheme="minorEastAsia" w:cstheme="minorEastAsia"/>
          <w:sz w:val="28"/>
          <w:szCs w:val="28"/>
        </w:rPr>
      </w:pPr>
    </w:p>
    <w:p>
      <w:pPr>
        <w:widowControl/>
        <w:ind w:left="-2" w:leftChars="-1" w:firstLine="723" w:firstLineChars="200"/>
        <w:jc w:val="center"/>
        <w:rPr>
          <w:rFonts w:asciiTheme="minorEastAsia" w:hAnsiTheme="minorEastAsia" w:cstheme="minorEastAsia"/>
          <w:b/>
          <w:bCs/>
          <w:kern w:val="0"/>
          <w:sz w:val="36"/>
          <w:szCs w:val="36"/>
        </w:rPr>
      </w:pPr>
      <w:r>
        <w:rPr>
          <w:rFonts w:hint="eastAsia" w:asciiTheme="minorEastAsia" w:hAnsiTheme="minorEastAsia" w:cstheme="minorEastAsia"/>
          <w:b/>
          <w:bCs/>
          <w:kern w:val="0"/>
          <w:sz w:val="36"/>
          <w:szCs w:val="36"/>
        </w:rPr>
        <w:t>填报提示：</w:t>
      </w:r>
    </w:p>
    <w:p>
      <w:pPr>
        <w:widowControl/>
        <w:tabs>
          <w:tab w:val="left" w:pos="630"/>
        </w:tabs>
        <w:jc w:val="left"/>
        <w:rPr>
          <w:rFonts w:asciiTheme="minorEastAsia" w:hAnsiTheme="minorEastAsia" w:cstheme="minorEastAsia"/>
          <w:kern w:val="0"/>
          <w:sz w:val="28"/>
          <w:szCs w:val="28"/>
        </w:rPr>
      </w:pPr>
    </w:p>
    <w:p>
      <w:pPr>
        <w:spacing w:line="560" w:lineRule="exact"/>
        <w:ind w:firstLine="560" w:firstLineChars="200"/>
        <w:rPr>
          <w:rFonts w:asciiTheme="minorEastAsia" w:hAnsiTheme="minorEastAsia" w:cstheme="minorEastAsia"/>
          <w:b/>
          <w:bCs/>
          <w:kern w:val="0"/>
          <w:sz w:val="28"/>
          <w:szCs w:val="28"/>
          <w:lang w:bidi="ar"/>
        </w:rPr>
      </w:pPr>
      <w:r>
        <w:rPr>
          <w:rFonts w:hint="eastAsia" w:asciiTheme="minorEastAsia" w:hAnsiTheme="minorEastAsia" w:cstheme="minorEastAsia"/>
          <w:kern w:val="0"/>
          <w:sz w:val="28"/>
          <w:szCs w:val="28"/>
        </w:rPr>
        <w:t>1.船运到港产品</w:t>
      </w:r>
      <w:r>
        <w:rPr>
          <w:rFonts w:hint="eastAsia" w:asciiTheme="minorEastAsia" w:hAnsiTheme="minorEastAsia" w:cstheme="minorEastAsia"/>
          <w:kern w:val="0"/>
          <w:sz w:val="28"/>
          <w:szCs w:val="28"/>
          <w:lang w:eastAsia="zh-CN"/>
        </w:rPr>
        <w:t>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数可报1～2标，</w:t>
      </w:r>
      <w:r>
        <w:rPr>
          <w:rFonts w:hint="eastAsia" w:asciiTheme="minorEastAsia" w:hAnsiTheme="minorEastAsia" w:cstheme="minorEastAsia"/>
          <w:kern w:val="0"/>
          <w:sz w:val="28"/>
          <w:szCs w:val="28"/>
          <w:lang w:bidi="ar"/>
        </w:rPr>
        <w:t>（需为整数），具体</w:t>
      </w:r>
      <w:r>
        <w:rPr>
          <w:rFonts w:hint="eastAsia" w:asciiTheme="minorEastAsia" w:hAnsiTheme="minorEastAsia" w:cstheme="minorEastAsia"/>
          <w:kern w:val="0"/>
          <w:sz w:val="28"/>
          <w:szCs w:val="28"/>
          <w:lang w:eastAsia="zh-CN" w:bidi="ar"/>
        </w:rPr>
        <w:t>投</w:t>
      </w:r>
      <w:r>
        <w:rPr>
          <w:rFonts w:hint="default" w:asciiTheme="minorEastAsia" w:hAnsiTheme="minorEastAsia" w:cstheme="minorEastAsia"/>
          <w:kern w:val="0"/>
          <w:sz w:val="28"/>
          <w:szCs w:val="28"/>
          <w:lang w:bidi="ar"/>
        </w:rPr>
        <w:t>标</w:t>
      </w:r>
      <w:r>
        <w:rPr>
          <w:rFonts w:hint="eastAsia" w:asciiTheme="minorEastAsia" w:hAnsiTheme="minorEastAsia" w:cstheme="minorEastAsia"/>
          <w:kern w:val="0"/>
          <w:sz w:val="28"/>
          <w:szCs w:val="28"/>
          <w:lang w:bidi="ar"/>
        </w:rPr>
        <w:t>数以公告为准。</w:t>
      </w:r>
    </w:p>
    <w:p>
      <w:pPr>
        <w:widowControl/>
        <w:tabs>
          <w:tab w:val="left" w:pos="630"/>
        </w:tabs>
        <w:ind w:left="-17"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2.船运到港每种产品起始</w:t>
      </w:r>
      <w:r>
        <w:rPr>
          <w:rFonts w:hint="eastAsia" w:asciiTheme="minorEastAsia" w:hAnsiTheme="minorEastAsia" w:cstheme="minorEastAsia"/>
          <w:kern w:val="0"/>
          <w:sz w:val="28"/>
          <w:szCs w:val="28"/>
          <w:lang w:eastAsia="zh-CN"/>
        </w:rPr>
        <w:t>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量为1个</w:t>
      </w:r>
      <w:r>
        <w:rPr>
          <w:rFonts w:hint="eastAsia" w:asciiTheme="minorEastAsia" w:hAnsiTheme="minorEastAsia" w:cstheme="minorEastAsia"/>
          <w:kern w:val="0"/>
          <w:sz w:val="28"/>
          <w:szCs w:val="28"/>
          <w:lang w:eastAsia="zh-CN"/>
        </w:rPr>
        <w:t>标的</w:t>
      </w:r>
      <w:r>
        <w:rPr>
          <w:rFonts w:hint="eastAsia" w:asciiTheme="minorEastAsia" w:hAnsiTheme="minorEastAsia" w:cstheme="minorEastAsia"/>
          <w:kern w:val="0"/>
          <w:sz w:val="28"/>
          <w:szCs w:val="28"/>
        </w:rPr>
        <w:t>3万吨，</w:t>
      </w:r>
      <w:r>
        <w:rPr>
          <w:rFonts w:hint="eastAsia" w:asciiTheme="minorEastAsia" w:hAnsiTheme="minorEastAsia" w:cstheme="minorEastAsia"/>
          <w:kern w:val="0"/>
          <w:sz w:val="28"/>
          <w:szCs w:val="28"/>
          <w:lang w:eastAsia="zh-CN"/>
        </w:rPr>
        <w:t>每个投标单位总投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量不得超过</w:t>
      </w:r>
      <w:r>
        <w:rPr>
          <w:rFonts w:hint="eastAsia" w:asciiTheme="minorEastAsia" w:hAnsiTheme="minorEastAsia" w:cstheme="minorEastAsia"/>
          <w:kern w:val="0"/>
          <w:sz w:val="28"/>
          <w:szCs w:val="28"/>
          <w:lang w:val="en-US" w:eastAsia="zh-CN"/>
        </w:rPr>
        <w:t>2个标的</w:t>
      </w:r>
      <w:r>
        <w:rPr>
          <w:rFonts w:hint="eastAsia" w:asciiTheme="minorEastAsia" w:hAnsiTheme="minorEastAsia" w:cstheme="minorEastAsia"/>
          <w:kern w:val="0"/>
          <w:sz w:val="28"/>
          <w:szCs w:val="28"/>
        </w:rPr>
        <w:t>6万吨 。</w:t>
      </w:r>
    </w:p>
    <w:p>
      <w:pPr>
        <w:spacing w:line="56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w:t>
      </w:r>
      <w:r>
        <w:rPr>
          <w:rFonts w:hint="eastAsia" w:asciiTheme="minorEastAsia" w:hAnsiTheme="minorEastAsia" w:cstheme="minorEastAsia"/>
          <w:kern w:val="0"/>
          <w:sz w:val="28"/>
          <w:szCs w:val="28"/>
          <w:lang w:eastAsia="zh-CN"/>
        </w:rPr>
        <w:t>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人对意向</w:t>
      </w:r>
      <w:r>
        <w:rPr>
          <w:rFonts w:hint="default" w:asciiTheme="minorEastAsia" w:hAnsiTheme="minorEastAsia" w:cstheme="minorEastAsia"/>
          <w:kern w:val="0"/>
          <w:sz w:val="28"/>
          <w:szCs w:val="28"/>
        </w:rPr>
        <w:t>招标</w:t>
      </w:r>
      <w:r>
        <w:rPr>
          <w:rFonts w:hint="eastAsia" w:asciiTheme="minorEastAsia" w:hAnsiTheme="minorEastAsia" w:cstheme="minorEastAsia"/>
          <w:kern w:val="0"/>
          <w:sz w:val="28"/>
          <w:szCs w:val="28"/>
        </w:rPr>
        <w:t>的某一产品只报一个价格，报价保留至小数点后两位数。</w:t>
      </w:r>
    </w:p>
    <w:p>
      <w:pPr>
        <w:widowControl/>
        <w:tabs>
          <w:tab w:val="left" w:pos="630"/>
        </w:tabs>
        <w:ind w:left="-17" w:firstLine="560" w:firstLineChars="200"/>
        <w:jc w:val="left"/>
        <w:rPr>
          <w:rFonts w:asciiTheme="minorEastAsia" w:hAnsiTheme="minorEastAsia" w:cstheme="minorEastAsia"/>
          <w:sz w:val="28"/>
          <w:szCs w:val="28"/>
        </w:rPr>
      </w:pPr>
      <w:r>
        <w:rPr>
          <w:rFonts w:hint="eastAsia" w:asciiTheme="minorEastAsia" w:hAnsiTheme="minorEastAsia" w:cstheme="minorEastAsia"/>
          <w:kern w:val="0"/>
          <w:sz w:val="28"/>
          <w:szCs w:val="28"/>
        </w:rPr>
        <w:t>4.报价单须机打（不得手填），应保持整洁，</w:t>
      </w:r>
      <w:r>
        <w:rPr>
          <w:rFonts w:hint="eastAsia" w:asciiTheme="minorEastAsia" w:hAnsiTheme="minorEastAsia" w:cstheme="minorEastAsia"/>
          <w:sz w:val="28"/>
          <w:szCs w:val="28"/>
        </w:rPr>
        <w:t>不得涂改，否则涂改部分无效</w:t>
      </w:r>
      <w:r>
        <w:rPr>
          <w:rFonts w:hint="eastAsia" w:asciiTheme="minorEastAsia" w:hAnsiTheme="minorEastAsia" w:cstheme="minorEastAsia"/>
          <w:kern w:val="0"/>
          <w:sz w:val="28"/>
          <w:szCs w:val="28"/>
        </w:rPr>
        <w:t>。</w:t>
      </w:r>
    </w:p>
    <w:p>
      <w:pPr>
        <w:widowControl/>
        <w:tabs>
          <w:tab w:val="left" w:pos="630"/>
        </w:tabs>
        <w:ind w:left="-17" w:firstLine="560" w:firstLineChars="200"/>
        <w:jc w:val="left"/>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shd w:val="clear" w:color="auto" w:fill="FFFFFF"/>
        </w:rPr>
        <w:t>5.上述报价均为</w:t>
      </w:r>
      <w:r>
        <w:rPr>
          <w:rFonts w:hint="eastAsia" w:asciiTheme="minorEastAsia" w:hAnsiTheme="minorEastAsia" w:cstheme="minorEastAsia"/>
          <w:sz w:val="28"/>
          <w:szCs w:val="28"/>
          <w:shd w:val="clear" w:color="auto" w:fill="FFFFFF"/>
          <w:lang w:val="en-US" w:eastAsia="zh-CN"/>
        </w:rPr>
        <w:t>1</w:t>
      </w:r>
      <w:r>
        <w:rPr>
          <w:rFonts w:hint="eastAsia" w:asciiTheme="minorEastAsia" w:hAnsiTheme="minorEastAsia" w:cstheme="minorEastAsia"/>
          <w:sz w:val="28"/>
          <w:szCs w:val="28"/>
          <w:shd w:val="clear" w:color="auto" w:fill="FFFFFF"/>
        </w:rPr>
        <w:t>3%税率含税单价</w:t>
      </w:r>
      <w:r>
        <w:rPr>
          <w:rFonts w:hint="eastAsia" w:asciiTheme="minorEastAsia" w:hAnsiTheme="minorEastAsia" w:cstheme="minorEastAsia"/>
          <w:sz w:val="28"/>
          <w:szCs w:val="28"/>
          <w:shd w:val="clear" w:color="auto" w:fill="FFFFFF"/>
          <w:lang w:eastAsia="zh-CN"/>
        </w:rPr>
        <w:t>。</w:t>
      </w: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南京中联混凝土有限公司</w:t>
      </w:r>
    </w:p>
    <w:p>
      <w:pPr>
        <w:spacing w:line="520" w:lineRule="exact"/>
        <w:jc w:val="center"/>
        <w:rPr>
          <w:rFonts w:ascii="黑体" w:hAnsi="黑体" w:eastAsia="黑体" w:cs="黑体"/>
          <w:b/>
          <w:bCs/>
          <w:sz w:val="36"/>
          <w:szCs w:val="36"/>
        </w:rPr>
      </w:pPr>
      <w:r>
        <w:rPr>
          <w:rFonts w:hint="eastAsia" w:ascii="黑体" w:hAnsi="黑体" w:eastAsia="黑体" w:cs="黑体"/>
          <w:b/>
          <w:bCs/>
          <w:sz w:val="36"/>
          <w:szCs w:val="36"/>
        </w:rPr>
        <w:t>ZLSS-</w:t>
      </w:r>
      <w:r>
        <w:rPr>
          <w:rFonts w:hint="default" w:ascii="黑体" w:hAnsi="黑体" w:eastAsia="黑体" w:cs="黑体"/>
          <w:b/>
          <w:bCs/>
          <w:sz w:val="36"/>
          <w:szCs w:val="36"/>
        </w:rPr>
        <w:t>2023</w:t>
      </w:r>
      <w:r>
        <w:rPr>
          <w:rFonts w:hint="eastAsia" w:ascii="黑体" w:hAnsi="黑体" w:eastAsia="黑体" w:cs="黑体"/>
          <w:b/>
          <w:bCs/>
          <w:sz w:val="36"/>
          <w:szCs w:val="36"/>
        </w:rPr>
        <w:t>-</w:t>
      </w:r>
      <w:r>
        <w:rPr>
          <w:rFonts w:hint="eastAsia" w:ascii="黑体" w:hAnsi="黑体" w:eastAsia="黑体" w:cs="黑体"/>
          <w:b/>
          <w:bCs/>
          <w:sz w:val="36"/>
          <w:szCs w:val="36"/>
          <w:u w:val="single"/>
        </w:rPr>
        <w:t xml:space="preserve"> 00</w:t>
      </w:r>
      <w:r>
        <w:rPr>
          <w:rFonts w:hint="eastAsia" w:ascii="黑体" w:hAnsi="黑体" w:eastAsia="黑体" w:cs="黑体"/>
          <w:b/>
          <w:bCs/>
          <w:sz w:val="36"/>
          <w:szCs w:val="36"/>
          <w:u w:val="single"/>
          <w:lang w:val="en-US" w:eastAsia="zh-CN"/>
        </w:rPr>
        <w:t>5</w:t>
      </w:r>
      <w:r>
        <w:rPr>
          <w:rFonts w:hint="eastAsia" w:ascii="黑体" w:hAnsi="黑体" w:eastAsia="黑体" w:cs="黑体"/>
          <w:b/>
          <w:bCs/>
          <w:sz w:val="36"/>
          <w:szCs w:val="36"/>
        </w:rPr>
        <w:t>期</w:t>
      </w:r>
    </w:p>
    <w:p>
      <w:pPr>
        <w:spacing w:line="52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（到港）采购</w:t>
      </w:r>
      <w:r>
        <w:rPr>
          <w:rFonts w:hint="eastAsia" w:ascii="黑体" w:hAnsi="黑体" w:eastAsia="黑体" w:cs="黑体"/>
          <w:b/>
          <w:bCs/>
          <w:sz w:val="36"/>
          <w:szCs w:val="36"/>
          <w:lang w:eastAsia="zh-CN"/>
        </w:rPr>
        <w:t>招</w:t>
      </w:r>
      <w:r>
        <w:rPr>
          <w:rFonts w:hint="eastAsia" w:ascii="黑体" w:hAnsi="黑体" w:eastAsia="黑体" w:cs="黑体"/>
          <w:b/>
          <w:bCs/>
          <w:sz w:val="36"/>
          <w:szCs w:val="36"/>
        </w:rPr>
        <w:t>标报价单</w:t>
      </w:r>
      <w:r>
        <w:rPr>
          <w:rFonts w:hint="eastAsia" w:ascii="黑体" w:hAnsi="黑体" w:eastAsia="黑体" w:cs="黑体"/>
          <w:b/>
          <w:bCs/>
          <w:sz w:val="36"/>
          <w:szCs w:val="36"/>
          <w:lang w:eastAsia="zh-CN"/>
        </w:rPr>
        <w:t>（正本）</w:t>
      </w:r>
    </w:p>
    <w:p>
      <w:pPr>
        <w:widowControl/>
        <w:rPr>
          <w:rFonts w:cs="宋体" w:asciiTheme="minorEastAsia" w:hAnsiTheme="minorEastAsia"/>
          <w:b/>
          <w:bCs/>
          <w:kern w:val="0"/>
          <w:sz w:val="24"/>
        </w:rPr>
      </w:pPr>
    </w:p>
    <w:tbl>
      <w:tblPr>
        <w:tblStyle w:val="1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776"/>
        <w:gridCol w:w="897"/>
        <w:gridCol w:w="1081"/>
        <w:gridCol w:w="266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33" w:type="dxa"/>
            <w:gridSpan w:val="6"/>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人发票税率</w:t>
            </w:r>
            <w:r>
              <w:rPr>
                <w:rFonts w:hint="eastAsia" w:cs="宋体" w:asciiTheme="minorEastAsia" w:hAnsiTheme="minorEastAsia"/>
                <w:b/>
                <w:kern w:val="0"/>
                <w:sz w:val="24"/>
                <w:szCs w:val="24"/>
                <w:lang w:eastAsia="zh-CN"/>
              </w:rPr>
              <w:t>（</w:t>
            </w:r>
            <w:r>
              <w:rPr>
                <w:rFonts w:hint="eastAsia" w:cs="宋体" w:asciiTheme="minorEastAsia" w:hAnsiTheme="minorEastAsia"/>
                <w:b/>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3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材料名称</w:t>
            </w:r>
          </w:p>
        </w:tc>
        <w:tc>
          <w:tcPr>
            <w:tcW w:w="1776"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规格型号</w:t>
            </w:r>
          </w:p>
        </w:tc>
        <w:tc>
          <w:tcPr>
            <w:tcW w:w="8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交付方式</w:t>
            </w:r>
          </w:p>
        </w:tc>
        <w:tc>
          <w:tcPr>
            <w:tcW w:w="1081"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bCs/>
                <w:sz w:val="24"/>
                <w:szCs w:val="24"/>
              </w:rPr>
              <w:t>交付地点</w:t>
            </w:r>
          </w:p>
        </w:tc>
        <w:tc>
          <w:tcPr>
            <w:tcW w:w="266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数量</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水洗机制砂</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Cs w:val="21"/>
              </w:rPr>
              <w:t>2.8～3.7mm</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到港</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right="0"/>
              <w:jc w:val="center"/>
              <w:rPr>
                <w:rFonts w:hint="default" w:cs="宋体" w:asciiTheme="minorEastAsia" w:hAnsiTheme="minorEastAsia"/>
                <w:sz w:val="24"/>
                <w:szCs w:val="24"/>
              </w:rPr>
            </w:pPr>
            <w:r>
              <w:rPr>
                <w:rFonts w:hint="eastAsia" w:cs="宋体" w:asciiTheme="minorEastAsia" w:hAnsiTheme="minorEastAsia"/>
                <w:sz w:val="24"/>
                <w:szCs w:val="24"/>
              </w:rPr>
              <w:t>各码头</w:t>
            </w:r>
          </w:p>
        </w:tc>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bl>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r>
        <w:rPr>
          <w:rFonts w:hint="eastAsia"/>
          <w:b/>
          <w:bCs/>
          <w:sz w:val="24"/>
          <w:szCs w:val="24"/>
        </w:rPr>
        <w:t>竞 标 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b/>
          <w:bCs/>
          <w:sz w:val="24"/>
          <w:szCs w:val="24"/>
        </w:rPr>
        <w:t xml:space="preserve">（盖单位章） </w:t>
      </w:r>
    </w:p>
    <w:p>
      <w:pPr>
        <w:spacing w:line="360" w:lineRule="auto"/>
        <w:rPr>
          <w:b/>
          <w:bCs/>
          <w:sz w:val="24"/>
          <w:szCs w:val="24"/>
        </w:rPr>
      </w:pPr>
    </w:p>
    <w:p>
      <w:pPr>
        <w:spacing w:line="360" w:lineRule="auto"/>
        <w:rPr>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 xml:space="preserve">（签名） </w:t>
      </w:r>
    </w:p>
    <w:p>
      <w:pPr>
        <w:spacing w:line="360" w:lineRule="auto"/>
        <w:jc w:val="left"/>
        <w:rPr>
          <w:b/>
          <w:bCs/>
          <w:sz w:val="24"/>
          <w:szCs w:val="24"/>
        </w:rPr>
      </w:pPr>
    </w:p>
    <w:p>
      <w:pPr>
        <w:spacing w:line="360" w:lineRule="auto"/>
        <w:jc w:val="left"/>
        <w:rPr>
          <w:sz w:val="24"/>
          <w:szCs w:val="24"/>
        </w:rPr>
      </w:pPr>
      <w:r>
        <w:rPr>
          <w:rFonts w:hint="eastAsia"/>
          <w:b/>
          <w:bCs/>
          <w:sz w:val="24"/>
          <w:szCs w:val="24"/>
        </w:rPr>
        <w:t>日期：</w:t>
      </w:r>
      <w:r>
        <w:rPr>
          <w:rFonts w:hint="default" w:ascii="宋体" w:hAnsi="宋体" w:eastAsia="宋体" w:cs="宋体"/>
          <w:b/>
          <w:bCs/>
          <w:sz w:val="24"/>
          <w:szCs w:val="24"/>
        </w:rPr>
        <w:t>2023</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p/>
    <w:p>
      <w:pPr>
        <w:spacing w:line="360" w:lineRule="auto"/>
        <w:jc w:val="left"/>
        <w:rPr>
          <w:sz w:val="24"/>
          <w:szCs w:val="24"/>
        </w:rPr>
      </w:pPr>
    </w:p>
    <w:p>
      <w:pPr>
        <w:rPr>
          <w:rFonts w:asciiTheme="minorEastAsia" w:hAnsiTheme="minorEastAsia" w:cstheme="minorEastAsia"/>
          <w:sz w:val="28"/>
          <w:szCs w:val="28"/>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南京中联混凝土有限公司</w:t>
      </w:r>
    </w:p>
    <w:p>
      <w:pPr>
        <w:spacing w:line="520" w:lineRule="exact"/>
        <w:jc w:val="center"/>
        <w:rPr>
          <w:rFonts w:ascii="黑体" w:hAnsi="黑体" w:eastAsia="黑体" w:cs="黑体"/>
          <w:b/>
          <w:bCs/>
          <w:sz w:val="36"/>
          <w:szCs w:val="36"/>
        </w:rPr>
      </w:pPr>
      <w:r>
        <w:rPr>
          <w:rFonts w:hint="eastAsia" w:ascii="黑体" w:hAnsi="黑体" w:eastAsia="黑体" w:cs="黑体"/>
          <w:b/>
          <w:bCs/>
          <w:sz w:val="36"/>
          <w:szCs w:val="36"/>
        </w:rPr>
        <w:t>ZLSS-</w:t>
      </w:r>
      <w:r>
        <w:rPr>
          <w:rFonts w:hint="default" w:ascii="黑体" w:hAnsi="黑体" w:eastAsia="黑体" w:cs="黑体"/>
          <w:b/>
          <w:bCs/>
          <w:sz w:val="36"/>
          <w:szCs w:val="36"/>
        </w:rPr>
        <w:t>2023</w:t>
      </w:r>
      <w:r>
        <w:rPr>
          <w:rFonts w:hint="eastAsia" w:ascii="黑体" w:hAnsi="黑体" w:eastAsia="黑体" w:cs="黑体"/>
          <w:b/>
          <w:bCs/>
          <w:sz w:val="36"/>
          <w:szCs w:val="36"/>
        </w:rPr>
        <w:t>-</w:t>
      </w:r>
      <w:r>
        <w:rPr>
          <w:rFonts w:hint="eastAsia" w:ascii="黑体" w:hAnsi="黑体" w:eastAsia="黑体" w:cs="黑体"/>
          <w:b/>
          <w:bCs/>
          <w:sz w:val="36"/>
          <w:szCs w:val="36"/>
          <w:u w:val="single"/>
        </w:rPr>
        <w:t xml:space="preserve"> 00</w:t>
      </w:r>
      <w:r>
        <w:rPr>
          <w:rFonts w:hint="eastAsia" w:ascii="黑体" w:hAnsi="黑体" w:eastAsia="黑体" w:cs="黑体"/>
          <w:b/>
          <w:bCs/>
          <w:sz w:val="36"/>
          <w:szCs w:val="36"/>
          <w:u w:val="single"/>
          <w:lang w:val="en-US" w:eastAsia="zh-CN"/>
        </w:rPr>
        <w:t>5</w:t>
      </w:r>
      <w:r>
        <w:rPr>
          <w:rFonts w:hint="eastAsia" w:ascii="黑体" w:hAnsi="黑体" w:eastAsia="黑体" w:cs="黑体"/>
          <w:b/>
          <w:bCs/>
          <w:sz w:val="36"/>
          <w:szCs w:val="36"/>
        </w:rPr>
        <w:t>期</w:t>
      </w:r>
    </w:p>
    <w:p>
      <w:pPr>
        <w:spacing w:line="52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（到港）采购</w:t>
      </w:r>
      <w:r>
        <w:rPr>
          <w:rFonts w:hint="eastAsia" w:ascii="黑体" w:hAnsi="黑体" w:eastAsia="黑体" w:cs="黑体"/>
          <w:b/>
          <w:bCs/>
          <w:sz w:val="36"/>
          <w:szCs w:val="36"/>
          <w:lang w:eastAsia="zh-CN"/>
        </w:rPr>
        <w:t>招</w:t>
      </w:r>
      <w:r>
        <w:rPr>
          <w:rFonts w:hint="eastAsia" w:ascii="黑体" w:hAnsi="黑体" w:eastAsia="黑体" w:cs="黑体"/>
          <w:b/>
          <w:bCs/>
          <w:sz w:val="36"/>
          <w:szCs w:val="36"/>
        </w:rPr>
        <w:t>标报价单</w:t>
      </w:r>
      <w:r>
        <w:rPr>
          <w:rFonts w:hint="eastAsia" w:ascii="黑体" w:hAnsi="黑体" w:eastAsia="黑体" w:cs="黑体"/>
          <w:b/>
          <w:bCs/>
          <w:sz w:val="36"/>
          <w:szCs w:val="36"/>
          <w:lang w:eastAsia="zh-CN"/>
        </w:rPr>
        <w:t>（副本）</w:t>
      </w:r>
    </w:p>
    <w:p>
      <w:pPr>
        <w:widowControl/>
        <w:rPr>
          <w:rFonts w:cs="宋体" w:asciiTheme="minorEastAsia" w:hAnsiTheme="minorEastAsia"/>
          <w:b/>
          <w:bCs/>
          <w:kern w:val="0"/>
          <w:sz w:val="24"/>
        </w:rPr>
      </w:pPr>
    </w:p>
    <w:tbl>
      <w:tblPr>
        <w:tblStyle w:val="11"/>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398"/>
        <w:gridCol w:w="924"/>
        <w:gridCol w:w="1030"/>
        <w:gridCol w:w="272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6"/>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人发票税率</w:t>
            </w:r>
            <w:r>
              <w:rPr>
                <w:rFonts w:hint="eastAsia" w:cs="宋体" w:asciiTheme="minorEastAsia" w:hAnsiTheme="minorEastAsia"/>
                <w:b/>
                <w:kern w:val="0"/>
                <w:sz w:val="24"/>
                <w:szCs w:val="24"/>
                <w:lang w:eastAsia="zh-CN"/>
              </w:rPr>
              <w:t>（</w:t>
            </w:r>
            <w:r>
              <w:rPr>
                <w:rFonts w:hint="eastAsia" w:cs="宋体" w:asciiTheme="minorEastAsia" w:hAnsiTheme="minorEastAsia"/>
                <w:b/>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25"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材料名称</w:t>
            </w:r>
          </w:p>
        </w:tc>
        <w:tc>
          <w:tcPr>
            <w:tcW w:w="790"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规格型号</w:t>
            </w:r>
          </w:p>
        </w:tc>
        <w:tc>
          <w:tcPr>
            <w:tcW w:w="522"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交付方式</w:t>
            </w:r>
          </w:p>
        </w:tc>
        <w:tc>
          <w:tcPr>
            <w:tcW w:w="582"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bCs/>
                <w:sz w:val="24"/>
                <w:szCs w:val="24"/>
              </w:rPr>
              <w:t>交付地点</w:t>
            </w:r>
          </w:p>
        </w:tc>
        <w:tc>
          <w:tcPr>
            <w:tcW w:w="1541"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数量</w:t>
            </w:r>
          </w:p>
        </w:tc>
        <w:tc>
          <w:tcPr>
            <w:tcW w:w="73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水洗机制砂</w:t>
            </w:r>
          </w:p>
        </w:tc>
        <w:tc>
          <w:tcPr>
            <w:tcW w:w="7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Cs w:val="21"/>
              </w:rPr>
              <w:t>2.8～3.7mm</w:t>
            </w:r>
          </w:p>
        </w:tc>
        <w:tc>
          <w:tcPr>
            <w:tcW w:w="52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到港</w:t>
            </w:r>
          </w:p>
        </w:tc>
        <w:tc>
          <w:tcPr>
            <w:tcW w:w="58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right="0"/>
              <w:jc w:val="center"/>
              <w:rPr>
                <w:rFonts w:hint="default" w:cs="宋体" w:asciiTheme="minorEastAsia" w:hAnsiTheme="minorEastAsia"/>
                <w:sz w:val="24"/>
                <w:szCs w:val="24"/>
              </w:rPr>
            </w:pPr>
            <w:r>
              <w:rPr>
                <w:rFonts w:hint="eastAsia" w:cs="宋体" w:asciiTheme="minorEastAsia" w:hAnsiTheme="minorEastAsia"/>
                <w:sz w:val="24"/>
                <w:szCs w:val="24"/>
              </w:rPr>
              <w:t>各码头</w:t>
            </w:r>
          </w:p>
        </w:tc>
        <w:tc>
          <w:tcPr>
            <w:tcW w:w="1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7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bl>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rFonts w:hint="eastAsia"/>
          <w:b/>
          <w:bCs/>
          <w:sz w:val="24"/>
          <w:szCs w:val="24"/>
        </w:rPr>
      </w:pPr>
    </w:p>
    <w:p>
      <w:pPr>
        <w:spacing w:line="360" w:lineRule="auto"/>
        <w:rPr>
          <w:rFonts w:hint="eastAsia"/>
          <w:b/>
          <w:bCs/>
          <w:sz w:val="24"/>
          <w:szCs w:val="24"/>
        </w:rPr>
      </w:pPr>
    </w:p>
    <w:p>
      <w:pPr>
        <w:spacing w:line="360" w:lineRule="auto"/>
        <w:rPr>
          <w:b/>
          <w:bCs/>
          <w:sz w:val="24"/>
          <w:szCs w:val="24"/>
        </w:rPr>
      </w:pPr>
      <w:r>
        <w:rPr>
          <w:rFonts w:hint="eastAsia"/>
          <w:b/>
          <w:bCs/>
          <w:sz w:val="24"/>
          <w:szCs w:val="24"/>
        </w:rPr>
        <w:t>竞 标 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b/>
          <w:bCs/>
          <w:sz w:val="24"/>
          <w:szCs w:val="24"/>
        </w:rPr>
        <w:t xml:space="preserve">（盖单位章） </w:t>
      </w:r>
    </w:p>
    <w:p>
      <w:pPr>
        <w:spacing w:line="360" w:lineRule="auto"/>
        <w:rPr>
          <w:b/>
          <w:bCs/>
          <w:sz w:val="24"/>
          <w:szCs w:val="24"/>
        </w:rPr>
      </w:pPr>
    </w:p>
    <w:p>
      <w:pPr>
        <w:spacing w:line="360" w:lineRule="auto"/>
        <w:rPr>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 xml:space="preserve">（签名） </w:t>
      </w:r>
    </w:p>
    <w:p>
      <w:pPr>
        <w:spacing w:line="360" w:lineRule="auto"/>
        <w:jc w:val="left"/>
        <w:rPr>
          <w:b/>
          <w:bCs/>
          <w:sz w:val="24"/>
          <w:szCs w:val="24"/>
        </w:rPr>
      </w:pPr>
    </w:p>
    <w:p>
      <w:pPr>
        <w:spacing w:line="360" w:lineRule="auto"/>
        <w:jc w:val="left"/>
      </w:pPr>
      <w:r>
        <w:rPr>
          <w:rFonts w:hint="eastAsia"/>
          <w:b/>
          <w:bCs/>
          <w:sz w:val="24"/>
          <w:szCs w:val="24"/>
        </w:rPr>
        <w:t>日期：</w:t>
      </w:r>
      <w:r>
        <w:rPr>
          <w:rFonts w:hint="default" w:ascii="宋体" w:hAnsi="宋体" w:eastAsia="宋体" w:cs="宋体"/>
          <w:b/>
          <w:bCs/>
          <w:sz w:val="24"/>
          <w:szCs w:val="24"/>
        </w:rPr>
        <w:t>2023</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Arial-Bold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2C"/>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418"/>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6FB"/>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9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2E6"/>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454"/>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3F8"/>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A06"/>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797"/>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B3F"/>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991"/>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6A"/>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412"/>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7B6"/>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6C7"/>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77FDB"/>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EF5"/>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3C"/>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7E3070"/>
    <w:rsid w:val="05F12651"/>
    <w:rsid w:val="07774735"/>
    <w:rsid w:val="08386073"/>
    <w:rsid w:val="083D55C7"/>
    <w:rsid w:val="08890BF4"/>
    <w:rsid w:val="091E5F9B"/>
    <w:rsid w:val="093E523F"/>
    <w:rsid w:val="0AB50401"/>
    <w:rsid w:val="0B654231"/>
    <w:rsid w:val="0B664854"/>
    <w:rsid w:val="0CD0381B"/>
    <w:rsid w:val="0E400C24"/>
    <w:rsid w:val="0E722C77"/>
    <w:rsid w:val="0EC41A8A"/>
    <w:rsid w:val="0F1A489C"/>
    <w:rsid w:val="0FA30629"/>
    <w:rsid w:val="10B26951"/>
    <w:rsid w:val="112C24FB"/>
    <w:rsid w:val="117B7760"/>
    <w:rsid w:val="11BB2940"/>
    <w:rsid w:val="14373EEB"/>
    <w:rsid w:val="144D6802"/>
    <w:rsid w:val="14663E20"/>
    <w:rsid w:val="15101D4F"/>
    <w:rsid w:val="177F2B37"/>
    <w:rsid w:val="18A05BA2"/>
    <w:rsid w:val="190A1A5B"/>
    <w:rsid w:val="19BA710F"/>
    <w:rsid w:val="1B021B9B"/>
    <w:rsid w:val="1D071BD3"/>
    <w:rsid w:val="1D153A25"/>
    <w:rsid w:val="1D154583"/>
    <w:rsid w:val="1D585501"/>
    <w:rsid w:val="1EA40B16"/>
    <w:rsid w:val="1F36613D"/>
    <w:rsid w:val="1FD782E0"/>
    <w:rsid w:val="204405D0"/>
    <w:rsid w:val="210F123D"/>
    <w:rsid w:val="21343E93"/>
    <w:rsid w:val="21874CBE"/>
    <w:rsid w:val="21BD4444"/>
    <w:rsid w:val="22A67325"/>
    <w:rsid w:val="23983868"/>
    <w:rsid w:val="23CD5478"/>
    <w:rsid w:val="2466059E"/>
    <w:rsid w:val="24F420C7"/>
    <w:rsid w:val="253B57EA"/>
    <w:rsid w:val="25EA05B5"/>
    <w:rsid w:val="27504785"/>
    <w:rsid w:val="27753A74"/>
    <w:rsid w:val="277C726E"/>
    <w:rsid w:val="27981C80"/>
    <w:rsid w:val="27C03C1D"/>
    <w:rsid w:val="28F174F3"/>
    <w:rsid w:val="2911757E"/>
    <w:rsid w:val="292672D3"/>
    <w:rsid w:val="2A72335D"/>
    <w:rsid w:val="2B2E744E"/>
    <w:rsid w:val="2BD10E5B"/>
    <w:rsid w:val="2BEF5DD7"/>
    <w:rsid w:val="2D11490D"/>
    <w:rsid w:val="2D836919"/>
    <w:rsid w:val="2E4924A6"/>
    <w:rsid w:val="2F0050B1"/>
    <w:rsid w:val="2F25779D"/>
    <w:rsid w:val="2F3F2D09"/>
    <w:rsid w:val="2F8F686D"/>
    <w:rsid w:val="304150EC"/>
    <w:rsid w:val="30AE5FBF"/>
    <w:rsid w:val="30B11DBC"/>
    <w:rsid w:val="31197AD2"/>
    <w:rsid w:val="3394598B"/>
    <w:rsid w:val="33D07D9B"/>
    <w:rsid w:val="344E4C3C"/>
    <w:rsid w:val="368C0895"/>
    <w:rsid w:val="3833FE27"/>
    <w:rsid w:val="3A4B4EF0"/>
    <w:rsid w:val="3AB33B24"/>
    <w:rsid w:val="3B5E52B7"/>
    <w:rsid w:val="3B8C0ABE"/>
    <w:rsid w:val="3C690CC7"/>
    <w:rsid w:val="3CEA0596"/>
    <w:rsid w:val="3D0224D7"/>
    <w:rsid w:val="3D4E5961"/>
    <w:rsid w:val="3D6930B5"/>
    <w:rsid w:val="3E0C43C8"/>
    <w:rsid w:val="3E3351A0"/>
    <w:rsid w:val="3E4404A1"/>
    <w:rsid w:val="3E7A5DA4"/>
    <w:rsid w:val="3F3DFFC7"/>
    <w:rsid w:val="3F4B26B2"/>
    <w:rsid w:val="3FEFB7C9"/>
    <w:rsid w:val="403F029C"/>
    <w:rsid w:val="410E2DA0"/>
    <w:rsid w:val="41465189"/>
    <w:rsid w:val="41946B84"/>
    <w:rsid w:val="424539BD"/>
    <w:rsid w:val="42540E4B"/>
    <w:rsid w:val="42777067"/>
    <w:rsid w:val="42817622"/>
    <w:rsid w:val="42D92015"/>
    <w:rsid w:val="4531762F"/>
    <w:rsid w:val="47312C8A"/>
    <w:rsid w:val="47461953"/>
    <w:rsid w:val="47846EA7"/>
    <w:rsid w:val="478B1255"/>
    <w:rsid w:val="47EB2504"/>
    <w:rsid w:val="47FF01E7"/>
    <w:rsid w:val="488A470E"/>
    <w:rsid w:val="48FF3934"/>
    <w:rsid w:val="494E5FF9"/>
    <w:rsid w:val="496A408C"/>
    <w:rsid w:val="49B33994"/>
    <w:rsid w:val="49BB6E3D"/>
    <w:rsid w:val="4A407EA2"/>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2554106"/>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97C6B9B"/>
    <w:rsid w:val="6B98513E"/>
    <w:rsid w:val="6BA107D1"/>
    <w:rsid w:val="6BC40C68"/>
    <w:rsid w:val="6E5D5438"/>
    <w:rsid w:val="6E934581"/>
    <w:rsid w:val="6EFBD170"/>
    <w:rsid w:val="6F325165"/>
    <w:rsid w:val="6F9E0AAB"/>
    <w:rsid w:val="7039771A"/>
    <w:rsid w:val="70424565"/>
    <w:rsid w:val="710C5E72"/>
    <w:rsid w:val="719E50B9"/>
    <w:rsid w:val="737A10CB"/>
    <w:rsid w:val="73E157AF"/>
    <w:rsid w:val="755516F8"/>
    <w:rsid w:val="7625023F"/>
    <w:rsid w:val="76480A30"/>
    <w:rsid w:val="76D54CCA"/>
    <w:rsid w:val="76DF06D7"/>
    <w:rsid w:val="76F784FC"/>
    <w:rsid w:val="77355948"/>
    <w:rsid w:val="776D7079"/>
    <w:rsid w:val="7773427D"/>
    <w:rsid w:val="77FF3C89"/>
    <w:rsid w:val="78047384"/>
    <w:rsid w:val="78E539F7"/>
    <w:rsid w:val="792500C1"/>
    <w:rsid w:val="79BB2FE8"/>
    <w:rsid w:val="79DF0135"/>
    <w:rsid w:val="79EE6DBE"/>
    <w:rsid w:val="7B7F0F5C"/>
    <w:rsid w:val="7CF57E0B"/>
    <w:rsid w:val="7D0B1235"/>
    <w:rsid w:val="7D7E3B33"/>
    <w:rsid w:val="7D892BC5"/>
    <w:rsid w:val="7DED7B10"/>
    <w:rsid w:val="7E7E2F05"/>
    <w:rsid w:val="7EBF79BF"/>
    <w:rsid w:val="7F3E56AC"/>
    <w:rsid w:val="7F3F9604"/>
    <w:rsid w:val="7F554AE2"/>
    <w:rsid w:val="7F67507D"/>
    <w:rsid w:val="7F9056C7"/>
    <w:rsid w:val="7FBA783D"/>
    <w:rsid w:val="7FBEB8E0"/>
    <w:rsid w:val="7FD37E1F"/>
    <w:rsid w:val="7FDFE6E6"/>
    <w:rsid w:val="A1FF2BEF"/>
    <w:rsid w:val="AFBF7FEE"/>
    <w:rsid w:val="B787FDE3"/>
    <w:rsid w:val="BDD6D118"/>
    <w:rsid w:val="BEF5111A"/>
    <w:rsid w:val="BEFF1632"/>
    <w:rsid w:val="BF1FB41C"/>
    <w:rsid w:val="CF748278"/>
    <w:rsid w:val="DCAF13E4"/>
    <w:rsid w:val="DD56658D"/>
    <w:rsid w:val="DDEF9E11"/>
    <w:rsid w:val="DEBF3D5A"/>
    <w:rsid w:val="DEDFD22C"/>
    <w:rsid w:val="DFE951B0"/>
    <w:rsid w:val="DFFD1604"/>
    <w:rsid w:val="ECFDCEAA"/>
    <w:rsid w:val="ED7ABCD7"/>
    <w:rsid w:val="EEF7CBD0"/>
    <w:rsid w:val="EFBF062A"/>
    <w:rsid w:val="EFD80D4B"/>
    <w:rsid w:val="EFDE1010"/>
    <w:rsid w:val="F17F953E"/>
    <w:rsid w:val="F2FF0AC7"/>
    <w:rsid w:val="F3EF9CE7"/>
    <w:rsid w:val="F79FD2DA"/>
    <w:rsid w:val="F7CB1C3B"/>
    <w:rsid w:val="F7D8C20A"/>
    <w:rsid w:val="F7FDFECC"/>
    <w:rsid w:val="FBDFA598"/>
    <w:rsid w:val="FBF60718"/>
    <w:rsid w:val="FD7E66BD"/>
    <w:rsid w:val="FDFA34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18</Pages>
  <Words>5112</Words>
  <Characters>5485</Characters>
  <Lines>1</Lines>
  <Paragraphs>1</Paragraphs>
  <TotalTime>81</TotalTime>
  <ScaleCrop>false</ScaleCrop>
  <LinksUpToDate>false</LinksUpToDate>
  <CharactersWithSpaces>5792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2014-09-17T02:16:00Z</dcterms:created>
  <dc:creator>备注</dc:creator>
  <cp:lastModifiedBy>O.Y.D.J</cp:lastModifiedBy>
  <cp:lastPrinted>2021-09-27T00:59:00Z</cp:lastPrinted>
  <dcterms:modified xsi:type="dcterms:W3CDTF">2023-05-10T00:56:00Z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BC1C27078D174F2E9F3EEA6A0FE86202</vt:lpwstr>
  </property>
</Properties>
</file>